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B576AD"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74057E" w:rsidP="00AC4A99">
            <w:pPr>
              <w:jc w:val="center"/>
              <w:rPr>
                <w:b/>
                <w:szCs w:val="22"/>
              </w:rPr>
            </w:pPr>
            <w:r w:rsidRPr="0074057E">
              <w:rPr>
                <w:b/>
                <w:szCs w:val="22"/>
              </w:rPr>
              <w:t>Planning</w:t>
            </w:r>
            <w:r w:rsidR="00BE2A3F" w:rsidRPr="0074057E">
              <w:rPr>
                <w:b/>
                <w:szCs w:val="22"/>
              </w:rPr>
              <w:t xml:space="preserve"> </w:t>
            </w:r>
            <w:r w:rsidR="00EB2D32" w:rsidRPr="00BE2A3F">
              <w:rPr>
                <w:b/>
                <w:szCs w:val="22"/>
              </w:rPr>
              <w:t>Committee</w:t>
            </w:r>
          </w:p>
        </w:tc>
        <w:tc>
          <w:tcPr>
            <w:tcW w:w="2268" w:type="dxa"/>
            <w:gridSpan w:val="2"/>
            <w:tcBorders>
              <w:bottom w:val="nil"/>
            </w:tcBorders>
            <w:vAlign w:val="center"/>
          </w:tcPr>
          <w:p w:rsidR="002F5C5E" w:rsidRPr="00847514" w:rsidRDefault="008932F7" w:rsidP="0047741D">
            <w:pPr>
              <w:jc w:val="center"/>
              <w:rPr>
                <w:b/>
              </w:rPr>
            </w:pPr>
            <w:r>
              <w:rPr>
                <w:b/>
              </w:rPr>
              <w:t>9 January 2019</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847514" w:rsidRDefault="0047741D" w:rsidP="00E2196F">
            <w:pPr>
              <w:rPr>
                <w:b/>
              </w:rPr>
            </w:pPr>
          </w:p>
          <w:p w:rsidR="0047741D" w:rsidRPr="00847514" w:rsidRDefault="00773968" w:rsidP="00FD620E">
            <w:pPr>
              <w:jc w:val="center"/>
              <w:rPr>
                <w:b/>
              </w:rPr>
            </w:pPr>
            <w:r w:rsidRPr="00847514">
              <w:rPr>
                <w:b/>
              </w:rPr>
              <w:t>Development Brief – The Warren</w:t>
            </w:r>
            <w:r w:rsidR="00FD620E">
              <w:rPr>
                <w:b/>
              </w:rPr>
              <w:t>, Broadfield Drive, Leyland</w:t>
            </w:r>
          </w:p>
          <w:p w:rsidR="0047741D" w:rsidRPr="00847514" w:rsidRDefault="0047741D" w:rsidP="00E2196F">
            <w:pPr>
              <w:jc w:val="center"/>
              <w:rPr>
                <w:b/>
              </w:rPr>
            </w:pPr>
          </w:p>
        </w:tc>
        <w:tc>
          <w:tcPr>
            <w:tcW w:w="2977" w:type="dxa"/>
            <w:gridSpan w:val="2"/>
            <w:vAlign w:val="center"/>
          </w:tcPr>
          <w:p w:rsidR="0047741D" w:rsidRPr="00847514" w:rsidRDefault="00CC0810" w:rsidP="00773968">
            <w:pPr>
              <w:jc w:val="center"/>
              <w:rPr>
                <w:b/>
              </w:rPr>
            </w:pPr>
            <w:r w:rsidRPr="00847514">
              <w:rPr>
                <w:b/>
              </w:rPr>
              <w:t>Director of Planning and Property</w:t>
            </w:r>
          </w:p>
        </w:tc>
      </w:tr>
    </w:tbl>
    <w:p w:rsidR="002F5C5E" w:rsidRDefault="002F5C5E" w:rsidP="002F5C5E"/>
    <w:p w:rsidR="002C050F" w:rsidRPr="00BF61BD" w:rsidRDefault="002C050F" w:rsidP="002F5C5E">
      <w:pPr>
        <w:rPr>
          <w:color w:val="FF0000"/>
        </w:rPr>
      </w:pPr>
    </w:p>
    <w:p w:rsidR="002F5C5E" w:rsidRPr="00BF61BD" w:rsidRDefault="002F5C5E" w:rsidP="002F5C5E">
      <w:pPr>
        <w:rPr>
          <w:color w:val="FF0000"/>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2C050F">
            <w:pPr>
              <w:rPr>
                <w:szCs w:val="22"/>
              </w:rPr>
            </w:pPr>
            <w:r>
              <w:rPr>
                <w:szCs w:val="22"/>
              </w:rPr>
              <w:t>Is this report confidential?</w:t>
            </w:r>
            <w:r w:rsidR="0074057E">
              <w:rPr>
                <w:szCs w:val="22"/>
              </w:rPr>
              <w:t xml:space="preserve">   </w:t>
            </w:r>
          </w:p>
        </w:tc>
        <w:tc>
          <w:tcPr>
            <w:tcW w:w="3266" w:type="dxa"/>
            <w:shd w:val="clear" w:color="auto" w:fill="auto"/>
          </w:tcPr>
          <w:p w:rsidR="00E63940" w:rsidRDefault="00E63940" w:rsidP="00E63940">
            <w:pPr>
              <w:rPr>
                <w:b/>
                <w:szCs w:val="22"/>
              </w:rPr>
            </w:pPr>
          </w:p>
          <w:p w:rsidR="0047741D" w:rsidRPr="00F3057A" w:rsidRDefault="0047741D" w:rsidP="00E2196F">
            <w:pPr>
              <w:rPr>
                <w:b/>
                <w:szCs w:val="22"/>
              </w:rPr>
            </w:pPr>
            <w:r w:rsidRPr="00F3057A">
              <w:rPr>
                <w:b/>
                <w:szCs w:val="22"/>
              </w:rPr>
              <w:t xml:space="preserve">No </w:t>
            </w:r>
          </w:p>
          <w:p w:rsidR="0047741D" w:rsidRPr="009C1143" w:rsidRDefault="0047741D" w:rsidP="00E2196F">
            <w:pPr>
              <w:rPr>
                <w:i/>
                <w:color w:val="0070C0"/>
                <w:szCs w:val="22"/>
              </w:rPr>
            </w:pPr>
            <w:bookmarkStart w:id="0" w:name="_GoBack"/>
            <w:bookmarkEnd w:id="0"/>
          </w:p>
          <w:p w:rsidR="0047741D" w:rsidRPr="009C1143" w:rsidRDefault="0047741D" w:rsidP="00E2196F">
            <w:pPr>
              <w:rPr>
                <w:szCs w:val="22"/>
              </w:rPr>
            </w:pPr>
          </w:p>
        </w:tc>
      </w:tr>
    </w:tbl>
    <w:p w:rsidR="0047741D" w:rsidRDefault="0047741D" w:rsidP="002F5C5E">
      <w:pPr>
        <w:rPr>
          <w:sz w:val="16"/>
          <w:szCs w:val="16"/>
        </w:rPr>
      </w:pPr>
    </w:p>
    <w:p w:rsidR="00EB2D32" w:rsidRDefault="00EB2D32" w:rsidP="002F5C5E">
      <w:pPr>
        <w:rPr>
          <w:sz w:val="16"/>
          <w:szCs w:val="16"/>
        </w:rPr>
      </w:pPr>
    </w:p>
    <w:p w:rsidR="002C050F" w:rsidRPr="00BF61BD" w:rsidRDefault="002C050F" w:rsidP="002F5C5E">
      <w:pPr>
        <w:rPr>
          <w:color w:val="FF0000"/>
          <w:sz w:val="16"/>
          <w:szCs w:val="16"/>
        </w:rPr>
      </w:pPr>
    </w:p>
    <w:p w:rsidR="002C050F" w:rsidRPr="009C1143" w:rsidRDefault="002C050F" w:rsidP="002F5C5E">
      <w:pPr>
        <w:rPr>
          <w:sz w:val="16"/>
          <w:szCs w:val="16"/>
        </w:rPr>
      </w:pPr>
    </w:p>
    <w:p w:rsidR="00813D72" w:rsidRDefault="002F5C5E" w:rsidP="002F5C5E">
      <w:pPr>
        <w:keepNext/>
        <w:numPr>
          <w:ilvl w:val="0"/>
          <w:numId w:val="8"/>
        </w:numPr>
        <w:outlineLvl w:val="0"/>
        <w:rPr>
          <w:b/>
          <w:szCs w:val="22"/>
        </w:rPr>
      </w:pPr>
      <w:r w:rsidRPr="009C1143">
        <w:rPr>
          <w:b/>
          <w:szCs w:val="22"/>
        </w:rPr>
        <w:t xml:space="preserve">PURPOSE OF THE REPORT </w:t>
      </w:r>
    </w:p>
    <w:p w:rsidR="00813D72" w:rsidRDefault="00813D72" w:rsidP="00813D72">
      <w:pPr>
        <w:keepNext/>
        <w:ind w:left="360"/>
        <w:outlineLvl w:val="0"/>
        <w:rPr>
          <w:b/>
          <w:szCs w:val="22"/>
        </w:rPr>
      </w:pPr>
    </w:p>
    <w:p w:rsidR="002F5C5E" w:rsidRPr="00A80A0A" w:rsidRDefault="00454411" w:rsidP="002F5C5E">
      <w:pPr>
        <w:pStyle w:val="ListParagraph"/>
        <w:numPr>
          <w:ilvl w:val="1"/>
          <w:numId w:val="19"/>
        </w:numPr>
        <w:ind w:left="567" w:hanging="567"/>
        <w:rPr>
          <w:rFonts w:ascii="Arial" w:hAnsi="Arial" w:cs="Arial"/>
          <w:color w:val="000000"/>
        </w:rPr>
      </w:pPr>
      <w:r>
        <w:rPr>
          <w:rFonts w:ascii="Arial" w:hAnsi="Arial" w:cs="Arial"/>
        </w:rPr>
        <w:t>To seek Planning Committee approval to progress a Development Brief for the site known as The Warren, Broadfield Drive, Leyland</w:t>
      </w:r>
      <w:r w:rsidR="00BF61BD" w:rsidRPr="00655DAD">
        <w:rPr>
          <w:rFonts w:ascii="Arial" w:hAnsi="Arial" w:cs="Arial"/>
        </w:rPr>
        <w:t>.</w:t>
      </w:r>
      <w:r w:rsidR="00C963B1" w:rsidRPr="00655DAD">
        <w:rPr>
          <w:rFonts w:ascii="Arial" w:hAnsi="Arial" w:cs="Arial"/>
        </w:rPr>
        <w:t xml:space="preserve"> </w:t>
      </w:r>
    </w:p>
    <w:p w:rsidR="002F5C5E" w:rsidRDefault="002F5C5E" w:rsidP="002F5C5E">
      <w:pPr>
        <w:keepNext/>
        <w:numPr>
          <w:ilvl w:val="0"/>
          <w:numId w:val="8"/>
        </w:numPr>
        <w:outlineLvl w:val="0"/>
        <w:rPr>
          <w:b/>
          <w:szCs w:val="22"/>
        </w:rPr>
      </w:pPr>
      <w:r w:rsidRPr="009C1143">
        <w:rPr>
          <w:b/>
          <w:szCs w:val="22"/>
        </w:rPr>
        <w:t>RECOMMENDATIONS</w:t>
      </w:r>
    </w:p>
    <w:p w:rsidR="000B5251" w:rsidRPr="009C1143" w:rsidRDefault="000B5251" w:rsidP="000B5251">
      <w:pPr>
        <w:keepNext/>
        <w:ind w:left="360"/>
        <w:outlineLvl w:val="0"/>
        <w:rPr>
          <w:b/>
          <w:szCs w:val="22"/>
        </w:rPr>
      </w:pPr>
    </w:p>
    <w:p w:rsidR="002F5C5E" w:rsidRPr="00454411" w:rsidRDefault="002F5C5E" w:rsidP="006D4135">
      <w:pPr>
        <w:ind w:left="567" w:hanging="567"/>
        <w:rPr>
          <w:szCs w:val="22"/>
        </w:rPr>
      </w:pPr>
      <w:r w:rsidRPr="00655DAD">
        <w:rPr>
          <w:szCs w:val="22"/>
        </w:rPr>
        <w:t>2.1</w:t>
      </w:r>
      <w:r w:rsidR="00525728" w:rsidRPr="00655DAD">
        <w:rPr>
          <w:color w:val="2E74B5"/>
          <w:szCs w:val="22"/>
        </w:rPr>
        <w:tab/>
      </w:r>
      <w:r w:rsidR="0062726A" w:rsidRPr="00655DAD">
        <w:rPr>
          <w:szCs w:val="22"/>
        </w:rPr>
        <w:t>That Members end</w:t>
      </w:r>
      <w:r w:rsidR="00FE0302">
        <w:rPr>
          <w:szCs w:val="22"/>
        </w:rPr>
        <w:t xml:space="preserve">orse for consultation purposes the attached </w:t>
      </w:r>
      <w:r w:rsidR="00454411">
        <w:rPr>
          <w:szCs w:val="22"/>
        </w:rPr>
        <w:t xml:space="preserve">Development Brief for the Warren, Broadfield Drive, Leyland. The consultation will occur alongside the </w:t>
      </w:r>
      <w:r w:rsidR="00FE0302">
        <w:rPr>
          <w:szCs w:val="22"/>
        </w:rPr>
        <w:t xml:space="preserve">Campus Masterplan for a six week consultation period to be carried out during January to March </w:t>
      </w:r>
      <w:r w:rsidR="00FE0302" w:rsidRPr="00454411">
        <w:rPr>
          <w:szCs w:val="22"/>
        </w:rPr>
        <w:t>2019</w:t>
      </w:r>
    </w:p>
    <w:p w:rsidR="00454411" w:rsidRPr="00454411" w:rsidRDefault="00454411" w:rsidP="006D4135">
      <w:pPr>
        <w:ind w:left="567" w:hanging="567"/>
        <w:rPr>
          <w:szCs w:val="22"/>
        </w:rPr>
      </w:pPr>
    </w:p>
    <w:p w:rsidR="002F5C5E" w:rsidRPr="002E22BD" w:rsidRDefault="00454411" w:rsidP="006D4135">
      <w:pPr>
        <w:ind w:left="567" w:hanging="567"/>
        <w:rPr>
          <w:szCs w:val="22"/>
        </w:rPr>
      </w:pPr>
      <w:r w:rsidRPr="00454411">
        <w:rPr>
          <w:szCs w:val="22"/>
        </w:rPr>
        <w:t>2.2</w:t>
      </w:r>
      <w:r w:rsidRPr="00454411">
        <w:rPr>
          <w:szCs w:val="22"/>
        </w:rPr>
        <w:tab/>
        <w:t>That Members approve the use of the Draft Development Brief for Development Management purposes in the interim period</w:t>
      </w:r>
    </w:p>
    <w:p w:rsidR="002F5C5E" w:rsidRPr="009C1143" w:rsidRDefault="002F5C5E" w:rsidP="002F5C5E">
      <w:pPr>
        <w:rPr>
          <w:szCs w:val="22"/>
        </w:rPr>
      </w:pPr>
    </w:p>
    <w:p w:rsidR="002F5C5E" w:rsidRDefault="002F5C5E" w:rsidP="00525728">
      <w:pPr>
        <w:keepNext/>
        <w:numPr>
          <w:ilvl w:val="0"/>
          <w:numId w:val="8"/>
        </w:numPr>
        <w:outlineLvl w:val="0"/>
        <w:rPr>
          <w:b/>
          <w:szCs w:val="22"/>
        </w:rPr>
      </w:pPr>
      <w:r w:rsidRPr="009C1143">
        <w:rPr>
          <w:b/>
          <w:szCs w:val="22"/>
        </w:rPr>
        <w:t>CORPORATE PRIORITIES</w:t>
      </w:r>
    </w:p>
    <w:p w:rsidR="00772B9C" w:rsidRDefault="00772B9C" w:rsidP="00772B9C">
      <w:pPr>
        <w:keepNext/>
        <w:outlineLvl w:val="0"/>
        <w:rPr>
          <w:b/>
          <w:szCs w:val="22"/>
        </w:rPr>
      </w:pPr>
    </w:p>
    <w:p w:rsidR="00772B9C" w:rsidRPr="002E22BD" w:rsidRDefault="00772B9C" w:rsidP="006D4135">
      <w:pPr>
        <w:pStyle w:val="ListParagraph"/>
        <w:keepNext/>
        <w:numPr>
          <w:ilvl w:val="1"/>
          <w:numId w:val="8"/>
        </w:numPr>
        <w:ind w:left="567" w:hanging="567"/>
        <w:outlineLvl w:val="0"/>
        <w:rPr>
          <w:rFonts w:ascii="Arial" w:hAnsi="Arial" w:cs="Arial"/>
          <w:color w:val="000000"/>
        </w:rPr>
      </w:pPr>
      <w:r w:rsidRPr="00655DAD">
        <w:rPr>
          <w:rFonts w:ascii="Arial" w:hAnsi="Arial" w:cs="Arial"/>
          <w:color w:val="000000"/>
        </w:rPr>
        <w:t>The report relates to the following corporate priorities: (tick all those applicable):</w:t>
      </w: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0E4458">
        <w:tc>
          <w:tcPr>
            <w:tcW w:w="4423" w:type="dxa"/>
            <w:shd w:val="clear" w:color="auto" w:fill="auto"/>
          </w:tcPr>
          <w:p w:rsidR="00772B9C" w:rsidRPr="000828CC" w:rsidRDefault="00772B9C" w:rsidP="000E4458">
            <w:pPr>
              <w:rPr>
                <w:szCs w:val="22"/>
              </w:rPr>
            </w:pPr>
            <w:r w:rsidRPr="000828CC">
              <w:rPr>
                <w:szCs w:val="22"/>
              </w:rPr>
              <w:t>Excellence and Financial Sustainability</w:t>
            </w:r>
          </w:p>
          <w:p w:rsidR="00772B9C" w:rsidRPr="000828CC" w:rsidRDefault="00772B9C" w:rsidP="000E4458">
            <w:pPr>
              <w:rPr>
                <w:szCs w:val="22"/>
              </w:rPr>
            </w:pPr>
          </w:p>
        </w:tc>
        <w:tc>
          <w:tcPr>
            <w:tcW w:w="850" w:type="dxa"/>
            <w:shd w:val="clear" w:color="auto" w:fill="auto"/>
          </w:tcPr>
          <w:p w:rsidR="00772B9C" w:rsidRPr="008770BE" w:rsidRDefault="00772B9C" w:rsidP="000E4458">
            <w:pPr>
              <w:rPr>
                <w:szCs w:val="22"/>
                <w:highlight w:val="yellow"/>
              </w:rPr>
            </w:pPr>
          </w:p>
        </w:tc>
      </w:tr>
      <w:tr w:rsidR="00772B9C" w:rsidRPr="008770BE" w:rsidTr="000E4458">
        <w:tc>
          <w:tcPr>
            <w:tcW w:w="4423" w:type="dxa"/>
            <w:shd w:val="clear" w:color="auto" w:fill="auto"/>
          </w:tcPr>
          <w:p w:rsidR="00772B9C" w:rsidRPr="000828CC" w:rsidRDefault="00772B9C" w:rsidP="000E4458">
            <w:pPr>
              <w:rPr>
                <w:szCs w:val="22"/>
              </w:rPr>
            </w:pPr>
            <w:r w:rsidRPr="000828CC">
              <w:rPr>
                <w:szCs w:val="22"/>
              </w:rPr>
              <w:t>Health and Wellbeing</w:t>
            </w:r>
          </w:p>
          <w:p w:rsidR="00772B9C" w:rsidRPr="000828CC" w:rsidRDefault="00772B9C" w:rsidP="000E4458">
            <w:pPr>
              <w:rPr>
                <w:szCs w:val="22"/>
              </w:rPr>
            </w:pPr>
          </w:p>
        </w:tc>
        <w:tc>
          <w:tcPr>
            <w:tcW w:w="850" w:type="dxa"/>
            <w:shd w:val="clear" w:color="auto" w:fill="auto"/>
          </w:tcPr>
          <w:p w:rsidR="00772B9C" w:rsidRPr="00584977" w:rsidRDefault="00FC3D79" w:rsidP="000E4458">
            <w:pPr>
              <w:rPr>
                <w:b/>
                <w:szCs w:val="22"/>
                <w:highlight w:val="yellow"/>
              </w:rPr>
            </w:pPr>
            <w:r w:rsidRPr="000C02FA">
              <w:rPr>
                <w:rFonts w:cs="Arial"/>
                <w:b/>
                <w:szCs w:val="22"/>
              </w:rPr>
              <w:t xml:space="preserve"> </w:t>
            </w:r>
            <w:r w:rsidRPr="000C02FA">
              <w:rPr>
                <w:rFonts w:cs="Arial"/>
                <w:b/>
                <w:szCs w:val="22"/>
              </w:rPr>
              <w:sym w:font="Wingdings" w:char="F0FC"/>
            </w:r>
          </w:p>
        </w:tc>
      </w:tr>
      <w:tr w:rsidR="00772B9C" w:rsidRPr="009C1143" w:rsidTr="000E4458">
        <w:tc>
          <w:tcPr>
            <w:tcW w:w="4423" w:type="dxa"/>
            <w:shd w:val="clear" w:color="auto" w:fill="auto"/>
          </w:tcPr>
          <w:p w:rsidR="00772B9C" w:rsidRPr="000828CC" w:rsidRDefault="00772B9C" w:rsidP="000E4458">
            <w:pPr>
              <w:rPr>
                <w:szCs w:val="22"/>
              </w:rPr>
            </w:pPr>
            <w:r w:rsidRPr="000828CC">
              <w:rPr>
                <w:szCs w:val="22"/>
              </w:rPr>
              <w:t>Place</w:t>
            </w:r>
          </w:p>
          <w:p w:rsidR="00772B9C" w:rsidRPr="000828CC" w:rsidRDefault="00772B9C" w:rsidP="000E4458">
            <w:pPr>
              <w:rPr>
                <w:szCs w:val="22"/>
              </w:rPr>
            </w:pPr>
          </w:p>
        </w:tc>
        <w:tc>
          <w:tcPr>
            <w:tcW w:w="850" w:type="dxa"/>
            <w:shd w:val="clear" w:color="auto" w:fill="auto"/>
          </w:tcPr>
          <w:p w:rsidR="00772B9C" w:rsidRPr="00813D72" w:rsidRDefault="00FC3D79" w:rsidP="000E4458">
            <w:pPr>
              <w:rPr>
                <w:b/>
                <w:szCs w:val="22"/>
              </w:rPr>
            </w:pPr>
            <w:r>
              <w:rPr>
                <w:rFonts w:cs="Arial"/>
                <w:b/>
                <w:szCs w:val="22"/>
              </w:rPr>
              <w:sym w:font="Wingdings" w:char="F0FC"/>
            </w:r>
            <w:r w:rsidR="00813D72" w:rsidRPr="00813D72">
              <w:rPr>
                <w:rFonts w:cs="Arial"/>
                <w:b/>
                <w:szCs w:val="22"/>
              </w:rPr>
              <w:t xml:space="preserve"> </w:t>
            </w: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0E4458">
        <w:tc>
          <w:tcPr>
            <w:tcW w:w="4423" w:type="dxa"/>
            <w:shd w:val="clear" w:color="auto" w:fill="auto"/>
          </w:tcPr>
          <w:p w:rsidR="00772B9C" w:rsidRDefault="00772B9C" w:rsidP="000E4458">
            <w:pPr>
              <w:rPr>
                <w:szCs w:val="22"/>
              </w:rPr>
            </w:pPr>
            <w:r>
              <w:rPr>
                <w:szCs w:val="22"/>
              </w:rPr>
              <w:t xml:space="preserve">People </w:t>
            </w:r>
          </w:p>
          <w:p w:rsidR="00772B9C" w:rsidRPr="000828CC" w:rsidRDefault="00772B9C" w:rsidP="000E4458">
            <w:pPr>
              <w:rPr>
                <w:szCs w:val="22"/>
              </w:rPr>
            </w:pPr>
          </w:p>
        </w:tc>
        <w:tc>
          <w:tcPr>
            <w:tcW w:w="850" w:type="dxa"/>
            <w:shd w:val="clear" w:color="auto" w:fill="auto"/>
          </w:tcPr>
          <w:p w:rsidR="00772B9C" w:rsidRPr="00584977" w:rsidRDefault="00813D72" w:rsidP="000E4458">
            <w:pPr>
              <w:rPr>
                <w:b/>
                <w:szCs w:val="22"/>
              </w:rPr>
            </w:pPr>
            <w:r>
              <w:rPr>
                <w:rFonts w:cs="Arial"/>
                <w:b/>
                <w:szCs w:val="22"/>
              </w:rPr>
              <w:t xml:space="preserve"> </w:t>
            </w:r>
            <w:r w:rsidR="00FC3D79">
              <w:rPr>
                <w:rFonts w:cs="Arial"/>
                <w:b/>
                <w:szCs w:val="22"/>
              </w:rPr>
              <w:sym w:font="Wingdings" w:char="F0FC"/>
            </w:r>
          </w:p>
        </w:tc>
      </w:tr>
    </w:tbl>
    <w:p w:rsidR="00772B9C" w:rsidRPr="009C1143" w:rsidRDefault="00772B9C" w:rsidP="002F5C5E">
      <w:pPr>
        <w:rPr>
          <w:szCs w:val="22"/>
        </w:rPr>
      </w:pPr>
    </w:p>
    <w:p w:rsidR="002F5C5E" w:rsidRPr="00655DAD" w:rsidRDefault="002F5C5E" w:rsidP="005853EA">
      <w:pPr>
        <w:pStyle w:val="ListParagraph"/>
        <w:numPr>
          <w:ilvl w:val="0"/>
          <w:numId w:val="8"/>
        </w:numPr>
        <w:rPr>
          <w:rFonts w:ascii="Arial" w:eastAsia="Times New Roman" w:hAnsi="Arial"/>
          <w:b/>
          <w:lang w:eastAsia="en-GB"/>
        </w:rPr>
      </w:pPr>
      <w:r w:rsidRPr="00655DAD">
        <w:rPr>
          <w:rFonts w:ascii="Arial" w:eastAsia="Times New Roman" w:hAnsi="Arial"/>
          <w:b/>
          <w:lang w:eastAsia="en-GB"/>
        </w:rPr>
        <w:t>BACKGROUND TO THE REPORT</w:t>
      </w:r>
    </w:p>
    <w:p w:rsidR="002642F8" w:rsidRDefault="002642F8" w:rsidP="002642F8">
      <w:pPr>
        <w:pStyle w:val="ListParagraph"/>
        <w:ind w:left="360"/>
        <w:rPr>
          <w:b/>
        </w:rPr>
      </w:pPr>
    </w:p>
    <w:p w:rsidR="00655DAD" w:rsidRPr="00655DAD" w:rsidRDefault="00655DAD" w:rsidP="00655DAD">
      <w:pPr>
        <w:pStyle w:val="ListParagraph"/>
        <w:numPr>
          <w:ilvl w:val="0"/>
          <w:numId w:val="20"/>
        </w:numPr>
        <w:rPr>
          <w:rFonts w:ascii="Arial" w:hAnsi="Arial" w:cs="Arial"/>
          <w:vanish/>
        </w:rPr>
      </w:pPr>
    </w:p>
    <w:p w:rsidR="00655DAD" w:rsidRPr="00655DAD" w:rsidRDefault="00655DAD" w:rsidP="00655DAD">
      <w:pPr>
        <w:pStyle w:val="ListParagraph"/>
        <w:numPr>
          <w:ilvl w:val="0"/>
          <w:numId w:val="20"/>
        </w:numPr>
        <w:rPr>
          <w:rFonts w:ascii="Arial" w:hAnsi="Arial" w:cs="Arial"/>
          <w:vanish/>
        </w:rPr>
      </w:pPr>
    </w:p>
    <w:p w:rsidR="00655DAD" w:rsidRPr="00655DAD" w:rsidRDefault="00655DAD" w:rsidP="00655DAD">
      <w:pPr>
        <w:pStyle w:val="ListParagraph"/>
        <w:numPr>
          <w:ilvl w:val="0"/>
          <w:numId w:val="20"/>
        </w:numPr>
        <w:rPr>
          <w:rFonts w:ascii="Arial" w:hAnsi="Arial" w:cs="Arial"/>
          <w:vanish/>
        </w:rPr>
      </w:pPr>
    </w:p>
    <w:p w:rsidR="00655DAD" w:rsidRPr="00655DAD" w:rsidRDefault="00655DAD" w:rsidP="00655DAD">
      <w:pPr>
        <w:pStyle w:val="ListParagraph"/>
        <w:numPr>
          <w:ilvl w:val="0"/>
          <w:numId w:val="20"/>
        </w:numPr>
        <w:rPr>
          <w:rFonts w:ascii="Arial" w:hAnsi="Arial" w:cs="Arial"/>
          <w:vanish/>
        </w:rPr>
      </w:pPr>
    </w:p>
    <w:p w:rsidR="005E6FC0" w:rsidRDefault="001F1B6D" w:rsidP="006D4135">
      <w:pPr>
        <w:pStyle w:val="ListParagraph"/>
        <w:numPr>
          <w:ilvl w:val="1"/>
          <w:numId w:val="20"/>
        </w:numPr>
        <w:ind w:left="567" w:hanging="567"/>
        <w:rPr>
          <w:rFonts w:ascii="Arial" w:hAnsi="Arial" w:cs="Arial"/>
        </w:rPr>
      </w:pPr>
      <w:r>
        <w:rPr>
          <w:rFonts w:ascii="Arial" w:hAnsi="Arial" w:cs="Arial"/>
        </w:rPr>
        <w:t xml:space="preserve">The site known as The Warren located on Broadfield Drive is currently on the market for disposal. The site is an important one given its location adjacent to the Civic Centre and has </w:t>
      </w:r>
      <w:r>
        <w:rPr>
          <w:rFonts w:ascii="Arial" w:hAnsi="Arial" w:cs="Arial"/>
        </w:rPr>
        <w:lastRenderedPageBreak/>
        <w:t>the potential to offer greater value and more possibilities in the future alongside the programmes for better use of the Civic Centre.</w:t>
      </w:r>
    </w:p>
    <w:p w:rsidR="001F1B6D" w:rsidRDefault="001F1B6D" w:rsidP="006D4135">
      <w:pPr>
        <w:pStyle w:val="ListParagraph"/>
        <w:ind w:left="567" w:hanging="567"/>
        <w:rPr>
          <w:rFonts w:ascii="Arial" w:hAnsi="Arial" w:cs="Arial"/>
        </w:rPr>
      </w:pPr>
    </w:p>
    <w:p w:rsidR="001F1B6D" w:rsidRPr="00655DAD" w:rsidRDefault="001F1B6D" w:rsidP="006D4135">
      <w:pPr>
        <w:pStyle w:val="ListParagraph"/>
        <w:numPr>
          <w:ilvl w:val="1"/>
          <w:numId w:val="20"/>
        </w:numPr>
        <w:ind w:left="567" w:hanging="567"/>
        <w:rPr>
          <w:rFonts w:ascii="Arial" w:hAnsi="Arial" w:cs="Arial"/>
        </w:rPr>
      </w:pPr>
      <w:r>
        <w:rPr>
          <w:rFonts w:ascii="Arial" w:hAnsi="Arial" w:cs="Arial"/>
        </w:rPr>
        <w:t>Given the above it is therefore important that the Council establishes some key development principles for the site moving forward to control development and use of the site in the future.</w:t>
      </w:r>
    </w:p>
    <w:p w:rsidR="002F5C5E" w:rsidRDefault="00655DAD" w:rsidP="002F5C5E">
      <w:pPr>
        <w:rPr>
          <w:b/>
          <w:szCs w:val="22"/>
        </w:rPr>
      </w:pPr>
      <w:r>
        <w:rPr>
          <w:b/>
          <w:szCs w:val="22"/>
        </w:rPr>
        <w:t>5</w:t>
      </w:r>
      <w:r w:rsidR="001938D6">
        <w:rPr>
          <w:b/>
          <w:szCs w:val="22"/>
        </w:rPr>
        <w:t xml:space="preserve">.   PROPOSALS (e.g. </w:t>
      </w:r>
      <w:r w:rsidR="002F5C5E" w:rsidRPr="009C1143">
        <w:rPr>
          <w:b/>
          <w:szCs w:val="22"/>
        </w:rPr>
        <w:t>RATIONALE, DETAIL</w:t>
      </w:r>
      <w:r w:rsidR="00D37BAE">
        <w:rPr>
          <w:b/>
          <w:szCs w:val="22"/>
        </w:rPr>
        <w:t>, FINANCIAL, PROCUREMENT</w:t>
      </w:r>
      <w:r w:rsidR="002F5C5E" w:rsidRPr="009C1143">
        <w:rPr>
          <w:b/>
          <w:szCs w:val="22"/>
        </w:rPr>
        <w:t>)</w:t>
      </w:r>
    </w:p>
    <w:p w:rsidR="00C230CA" w:rsidRPr="00C56E38" w:rsidRDefault="00C230CA" w:rsidP="00C230CA">
      <w:pPr>
        <w:rPr>
          <w:rFonts w:cs="Arial"/>
          <w:b/>
          <w:color w:val="FF0000"/>
        </w:rPr>
      </w:pPr>
    </w:p>
    <w:p w:rsidR="00655DAD" w:rsidRPr="00C56E38" w:rsidRDefault="00655DAD" w:rsidP="00655DAD">
      <w:pPr>
        <w:pStyle w:val="ListParagraph"/>
        <w:numPr>
          <w:ilvl w:val="0"/>
          <w:numId w:val="21"/>
        </w:numPr>
        <w:rPr>
          <w:rFonts w:ascii="Arial" w:hAnsi="Arial" w:cs="Arial"/>
          <w:vanish/>
        </w:rPr>
      </w:pPr>
    </w:p>
    <w:p w:rsidR="00655DAD" w:rsidRPr="00C56E38" w:rsidRDefault="00655DAD" w:rsidP="00655DAD">
      <w:pPr>
        <w:pStyle w:val="ListParagraph"/>
        <w:numPr>
          <w:ilvl w:val="0"/>
          <w:numId w:val="21"/>
        </w:numPr>
        <w:rPr>
          <w:rFonts w:ascii="Arial" w:hAnsi="Arial" w:cs="Arial"/>
          <w:vanish/>
        </w:rPr>
      </w:pPr>
    </w:p>
    <w:p w:rsidR="00655DAD" w:rsidRPr="00C56E38" w:rsidRDefault="00655DAD" w:rsidP="00655DAD">
      <w:pPr>
        <w:pStyle w:val="ListParagraph"/>
        <w:numPr>
          <w:ilvl w:val="0"/>
          <w:numId w:val="21"/>
        </w:numPr>
        <w:rPr>
          <w:rFonts w:ascii="Arial" w:hAnsi="Arial" w:cs="Arial"/>
          <w:vanish/>
        </w:rPr>
      </w:pPr>
    </w:p>
    <w:p w:rsidR="00655DAD" w:rsidRPr="00C56E38" w:rsidRDefault="00655DAD" w:rsidP="00655DAD">
      <w:pPr>
        <w:pStyle w:val="ListParagraph"/>
        <w:numPr>
          <w:ilvl w:val="0"/>
          <w:numId w:val="21"/>
        </w:numPr>
        <w:rPr>
          <w:rFonts w:ascii="Arial" w:hAnsi="Arial" w:cs="Arial"/>
          <w:vanish/>
        </w:rPr>
      </w:pPr>
    </w:p>
    <w:p w:rsidR="00655DAD" w:rsidRPr="00C56E38" w:rsidRDefault="00655DAD" w:rsidP="00655DAD">
      <w:pPr>
        <w:pStyle w:val="ListParagraph"/>
        <w:numPr>
          <w:ilvl w:val="0"/>
          <w:numId w:val="21"/>
        </w:numPr>
        <w:rPr>
          <w:rFonts w:ascii="Arial" w:hAnsi="Arial" w:cs="Arial"/>
          <w:vanish/>
        </w:rPr>
      </w:pPr>
    </w:p>
    <w:p w:rsidR="00C56E38" w:rsidRPr="00C56E38" w:rsidRDefault="00C56E38" w:rsidP="006D4135">
      <w:pPr>
        <w:pStyle w:val="ListParagraph"/>
        <w:numPr>
          <w:ilvl w:val="1"/>
          <w:numId w:val="21"/>
        </w:numPr>
        <w:ind w:left="567" w:hanging="567"/>
        <w:rPr>
          <w:rFonts w:ascii="Arial" w:hAnsi="Arial" w:cs="Arial"/>
        </w:rPr>
      </w:pPr>
      <w:r w:rsidRPr="00C56E38">
        <w:rPr>
          <w:rFonts w:ascii="Arial" w:hAnsi="Arial" w:cs="Arial"/>
        </w:rPr>
        <w:t>The site comprises of a detached residential property, which has been used as a funeral home, and its curtilage, with a total site area of 0.72 hectares. The site is situated within the built-up area of Leyland, with residential properties of varying styles to the north, east and western boundaries, a doctor’s surgery and an office building (Civic Centre) to the south. The car park for the offices also abuts the western boundary. A fire station is close to the site, north east of Broadfield Drive.</w:t>
      </w:r>
    </w:p>
    <w:p w:rsidR="00655DAD" w:rsidRPr="00C56E38" w:rsidRDefault="00655DAD" w:rsidP="006D4135">
      <w:pPr>
        <w:pStyle w:val="ListParagraph"/>
        <w:ind w:left="567" w:hanging="567"/>
        <w:rPr>
          <w:rFonts w:ascii="Arial" w:hAnsi="Arial" w:cs="Arial"/>
        </w:rPr>
      </w:pPr>
    </w:p>
    <w:p w:rsidR="00C230CA" w:rsidRDefault="00C56E38" w:rsidP="006D4135">
      <w:pPr>
        <w:pStyle w:val="ListParagraph"/>
        <w:numPr>
          <w:ilvl w:val="1"/>
          <w:numId w:val="21"/>
        </w:numPr>
        <w:ind w:left="567" w:hanging="567"/>
        <w:rPr>
          <w:rFonts w:ascii="Arial" w:hAnsi="Arial" w:cs="Arial"/>
        </w:rPr>
      </w:pPr>
      <w:r>
        <w:rPr>
          <w:rFonts w:ascii="Arial" w:hAnsi="Arial" w:cs="Arial"/>
        </w:rPr>
        <w:t xml:space="preserve">The site has been identified as of particular interest to necessitate a Development Brief </w:t>
      </w:r>
      <w:r w:rsidR="006D4135">
        <w:rPr>
          <w:rFonts w:ascii="Arial" w:hAnsi="Arial" w:cs="Arial"/>
        </w:rPr>
        <w:t xml:space="preserve">being prepared </w:t>
      </w:r>
      <w:r>
        <w:rPr>
          <w:rFonts w:ascii="Arial" w:hAnsi="Arial" w:cs="Arial"/>
        </w:rPr>
        <w:t>due its location adjacent to the Civic Centre. There are various projects in the Corporate Plan regarding the Civic including the commercialisation of the business and conference centre and seeking partners or tenants to occupy the vacant floor</w:t>
      </w:r>
      <w:r w:rsidR="006D4135">
        <w:rPr>
          <w:rFonts w:ascii="Arial" w:hAnsi="Arial" w:cs="Arial"/>
        </w:rPr>
        <w:t xml:space="preserve"> </w:t>
      </w:r>
      <w:r>
        <w:rPr>
          <w:rFonts w:ascii="Arial" w:hAnsi="Arial" w:cs="Arial"/>
        </w:rPr>
        <w:t xml:space="preserve">space. </w:t>
      </w:r>
      <w:r w:rsidR="006D4135">
        <w:rPr>
          <w:rFonts w:ascii="Arial" w:hAnsi="Arial" w:cs="Arial"/>
        </w:rPr>
        <w:t>The Warren could assist in the delivery and success of these</w:t>
      </w:r>
      <w:r>
        <w:rPr>
          <w:rFonts w:ascii="Arial" w:hAnsi="Arial" w:cs="Arial"/>
        </w:rPr>
        <w:t xml:space="preserve"> projects.</w:t>
      </w:r>
    </w:p>
    <w:p w:rsidR="00C56E38" w:rsidRPr="00C56E38" w:rsidRDefault="00C56E38" w:rsidP="006D4135">
      <w:pPr>
        <w:pStyle w:val="ListParagraph"/>
        <w:ind w:left="567" w:hanging="567"/>
        <w:rPr>
          <w:rFonts w:ascii="Arial" w:hAnsi="Arial" w:cs="Arial"/>
        </w:rPr>
      </w:pPr>
    </w:p>
    <w:p w:rsidR="00C56E38" w:rsidRDefault="00C56E38" w:rsidP="006D4135">
      <w:pPr>
        <w:pStyle w:val="ListParagraph"/>
        <w:numPr>
          <w:ilvl w:val="1"/>
          <w:numId w:val="21"/>
        </w:numPr>
        <w:ind w:left="567" w:hanging="567"/>
        <w:rPr>
          <w:rFonts w:ascii="Arial" w:hAnsi="Arial" w:cs="Arial"/>
        </w:rPr>
      </w:pPr>
      <w:r>
        <w:rPr>
          <w:rFonts w:ascii="Arial" w:hAnsi="Arial" w:cs="Arial"/>
        </w:rPr>
        <w:t xml:space="preserve">The Development Brief provides a summary position regarding the sites established use and relevant planning policy. It also identifies key constraints, such as the existence of an extensive area of trees covered by a Tree Preservation Order. The Brief also includes key requirements from any development arising such as providing an additional access into the Civic Centre from Broadfield Drive. Potential uses are also suggested </w:t>
      </w:r>
      <w:r w:rsidRPr="00C56E38">
        <w:rPr>
          <w:rFonts w:ascii="Arial" w:hAnsi="Arial" w:cs="Arial"/>
        </w:rPr>
        <w:t>including: residential, offices, leisure (including hotel), and retail.</w:t>
      </w:r>
    </w:p>
    <w:p w:rsidR="00CF7A38" w:rsidRPr="00CF7A38" w:rsidRDefault="00CF7A38" w:rsidP="006D4135">
      <w:pPr>
        <w:pStyle w:val="ListParagraph"/>
        <w:ind w:left="567" w:hanging="567"/>
        <w:rPr>
          <w:rFonts w:ascii="Arial" w:hAnsi="Arial" w:cs="Arial"/>
        </w:rPr>
      </w:pPr>
    </w:p>
    <w:p w:rsidR="002F5C5E" w:rsidRPr="002E22BD" w:rsidRDefault="00CF7A38" w:rsidP="006D4135">
      <w:pPr>
        <w:pStyle w:val="ListParagraph"/>
        <w:numPr>
          <w:ilvl w:val="1"/>
          <w:numId w:val="21"/>
        </w:numPr>
        <w:ind w:left="567" w:hanging="567"/>
        <w:rPr>
          <w:rFonts w:ascii="Arial" w:hAnsi="Arial" w:cs="Arial"/>
        </w:rPr>
      </w:pPr>
      <w:r>
        <w:rPr>
          <w:rFonts w:ascii="Arial" w:hAnsi="Arial" w:cs="Arial"/>
        </w:rPr>
        <w:t>A Development Brief which has been consulted upon and subsequently adopted by Planning Committee will carry the same weight in a planning decision as a Supplementary Planning Document. It is therefore proposed that the Brief is put out to consultation alongside the campus master plan but in the interim is approved as a material consideration in planning decisions.</w:t>
      </w:r>
    </w:p>
    <w:p w:rsidR="001938D6" w:rsidRPr="0046015D" w:rsidRDefault="00655DAD" w:rsidP="002F5C5E">
      <w:pPr>
        <w:rPr>
          <w:rFonts w:cs="Arial"/>
          <w:b/>
          <w:szCs w:val="22"/>
        </w:rPr>
      </w:pPr>
      <w:r>
        <w:rPr>
          <w:rFonts w:cs="Arial"/>
          <w:b/>
          <w:szCs w:val="22"/>
        </w:rPr>
        <w:t>6</w:t>
      </w:r>
      <w:r w:rsidR="002F5C5E" w:rsidRPr="0046015D">
        <w:rPr>
          <w:rFonts w:cs="Arial"/>
          <w:b/>
          <w:szCs w:val="22"/>
        </w:rPr>
        <w:t xml:space="preserve">.   </w:t>
      </w:r>
      <w:r w:rsidR="001938D6" w:rsidRPr="0046015D">
        <w:rPr>
          <w:rFonts w:cs="Arial"/>
          <w:b/>
          <w:szCs w:val="22"/>
        </w:rPr>
        <w:t xml:space="preserve">CONSULTATION CARRIED OUT AND OUTCOME OF CONSULTATION </w:t>
      </w:r>
    </w:p>
    <w:p w:rsidR="001938D6" w:rsidRPr="0046015D" w:rsidRDefault="001938D6" w:rsidP="002F5C5E">
      <w:pPr>
        <w:rPr>
          <w:rFonts w:cs="Arial"/>
          <w:b/>
          <w:szCs w:val="22"/>
        </w:rPr>
      </w:pPr>
    </w:p>
    <w:p w:rsidR="005A2007" w:rsidRPr="005A2007" w:rsidRDefault="005A2007" w:rsidP="005A2007">
      <w:pPr>
        <w:pStyle w:val="ListParagraph"/>
        <w:numPr>
          <w:ilvl w:val="0"/>
          <w:numId w:val="26"/>
        </w:numPr>
        <w:rPr>
          <w:rFonts w:ascii="Arial" w:hAnsi="Arial" w:cs="Arial"/>
          <w:vanish/>
        </w:rPr>
      </w:pPr>
    </w:p>
    <w:p w:rsidR="005A2007" w:rsidRPr="005A2007" w:rsidRDefault="005A2007" w:rsidP="005A2007">
      <w:pPr>
        <w:pStyle w:val="ListParagraph"/>
        <w:numPr>
          <w:ilvl w:val="0"/>
          <w:numId w:val="26"/>
        </w:numPr>
        <w:rPr>
          <w:rFonts w:ascii="Arial" w:hAnsi="Arial" w:cs="Arial"/>
          <w:vanish/>
        </w:rPr>
      </w:pPr>
    </w:p>
    <w:p w:rsidR="005A2007" w:rsidRPr="005A2007" w:rsidRDefault="005A2007" w:rsidP="005A2007">
      <w:pPr>
        <w:pStyle w:val="ListParagraph"/>
        <w:numPr>
          <w:ilvl w:val="0"/>
          <w:numId w:val="26"/>
        </w:numPr>
        <w:rPr>
          <w:rFonts w:ascii="Arial" w:hAnsi="Arial" w:cs="Arial"/>
          <w:vanish/>
        </w:rPr>
      </w:pPr>
    </w:p>
    <w:p w:rsidR="005A2007" w:rsidRPr="005A2007" w:rsidRDefault="005A2007" w:rsidP="005A2007">
      <w:pPr>
        <w:pStyle w:val="ListParagraph"/>
        <w:numPr>
          <w:ilvl w:val="0"/>
          <w:numId w:val="26"/>
        </w:numPr>
        <w:rPr>
          <w:rFonts w:ascii="Arial" w:hAnsi="Arial" w:cs="Arial"/>
          <w:vanish/>
        </w:rPr>
      </w:pPr>
    </w:p>
    <w:p w:rsidR="005A2007" w:rsidRPr="005A2007" w:rsidRDefault="005A2007" w:rsidP="005A2007">
      <w:pPr>
        <w:pStyle w:val="ListParagraph"/>
        <w:numPr>
          <w:ilvl w:val="0"/>
          <w:numId w:val="26"/>
        </w:numPr>
        <w:rPr>
          <w:rFonts w:ascii="Arial" w:hAnsi="Arial" w:cs="Arial"/>
          <w:vanish/>
        </w:rPr>
      </w:pPr>
    </w:p>
    <w:p w:rsidR="005A2007" w:rsidRPr="005A2007" w:rsidRDefault="005A2007" w:rsidP="005A2007">
      <w:pPr>
        <w:pStyle w:val="ListParagraph"/>
        <w:numPr>
          <w:ilvl w:val="0"/>
          <w:numId w:val="26"/>
        </w:numPr>
        <w:rPr>
          <w:rFonts w:ascii="Arial" w:hAnsi="Arial" w:cs="Arial"/>
          <w:vanish/>
        </w:rPr>
      </w:pPr>
    </w:p>
    <w:p w:rsidR="00F43895" w:rsidRDefault="00F8649C" w:rsidP="00A80A0A">
      <w:pPr>
        <w:pStyle w:val="ListParagraph"/>
        <w:numPr>
          <w:ilvl w:val="1"/>
          <w:numId w:val="26"/>
        </w:numPr>
        <w:ind w:left="567" w:hanging="567"/>
        <w:rPr>
          <w:rFonts w:ascii="Arial" w:hAnsi="Arial" w:cs="Arial"/>
        </w:rPr>
      </w:pPr>
      <w:r w:rsidRPr="00655DAD">
        <w:rPr>
          <w:rFonts w:ascii="Arial" w:hAnsi="Arial" w:cs="Arial"/>
        </w:rPr>
        <w:t>The consultation</w:t>
      </w:r>
      <w:r w:rsidR="00FC3D79" w:rsidRPr="00655DAD">
        <w:rPr>
          <w:rFonts w:ascii="Arial" w:hAnsi="Arial" w:cs="Arial"/>
        </w:rPr>
        <w:t xml:space="preserve"> now</w:t>
      </w:r>
      <w:r w:rsidRPr="00655DAD">
        <w:rPr>
          <w:rFonts w:ascii="Arial" w:hAnsi="Arial" w:cs="Arial"/>
        </w:rPr>
        <w:t xml:space="preserve"> propo</w:t>
      </w:r>
      <w:r w:rsidR="00CF7A38">
        <w:rPr>
          <w:rFonts w:ascii="Arial" w:hAnsi="Arial" w:cs="Arial"/>
        </w:rPr>
        <w:t>sed will be the first consultation and will link in with that for the Health and Wellbeing Campus.</w:t>
      </w:r>
    </w:p>
    <w:p w:rsidR="002E22BD" w:rsidRPr="002E22BD" w:rsidRDefault="002E22BD" w:rsidP="002E22BD">
      <w:pPr>
        <w:rPr>
          <w:rFonts w:cs="Arial"/>
        </w:rPr>
      </w:pPr>
    </w:p>
    <w:p w:rsidR="00F43895" w:rsidRPr="00792A2B" w:rsidRDefault="00655DAD" w:rsidP="00F43895">
      <w:pPr>
        <w:rPr>
          <w:b/>
          <w:szCs w:val="22"/>
        </w:rPr>
      </w:pPr>
      <w:r>
        <w:rPr>
          <w:b/>
          <w:szCs w:val="22"/>
        </w:rPr>
        <w:t>7</w:t>
      </w:r>
      <w:r w:rsidR="00F43895" w:rsidRPr="00792A2B">
        <w:rPr>
          <w:b/>
          <w:szCs w:val="22"/>
        </w:rPr>
        <w:t xml:space="preserve">.    </w:t>
      </w:r>
      <w:r w:rsidR="00F43895" w:rsidRPr="00792A2B">
        <w:rPr>
          <w:rFonts w:cs="Arial"/>
          <w:b/>
          <w:caps/>
        </w:rPr>
        <w:t>Financial implications</w:t>
      </w:r>
    </w:p>
    <w:p w:rsidR="00F43895" w:rsidRPr="00792A2B" w:rsidRDefault="00F43895" w:rsidP="00F43895">
      <w:pPr>
        <w:ind w:left="567"/>
        <w:rPr>
          <w:rFonts w:cs="Arial"/>
          <w:b/>
          <w:caps/>
        </w:rPr>
      </w:pPr>
    </w:p>
    <w:p w:rsidR="00F43895" w:rsidRPr="005A2007" w:rsidRDefault="00512E39" w:rsidP="00A80A0A">
      <w:pPr>
        <w:pStyle w:val="ListParagraph"/>
        <w:numPr>
          <w:ilvl w:val="1"/>
          <w:numId w:val="33"/>
        </w:numPr>
        <w:ind w:left="567" w:hanging="567"/>
        <w:rPr>
          <w:rFonts w:ascii="Arial" w:hAnsi="Arial" w:cs="Arial"/>
          <w:i/>
          <w:caps/>
          <w:color w:val="2E74B5"/>
        </w:rPr>
      </w:pPr>
      <w:r>
        <w:rPr>
          <w:rFonts w:ascii="Arial" w:hAnsi="Arial" w:cs="Arial"/>
        </w:rPr>
        <w:t>Please see comments of Statutory Finance Officer</w:t>
      </w:r>
      <w:r w:rsidR="00E37ADF">
        <w:rPr>
          <w:rFonts w:ascii="Arial" w:hAnsi="Arial" w:cs="Arial"/>
        </w:rPr>
        <w:t>.</w:t>
      </w:r>
    </w:p>
    <w:p w:rsidR="00F43895" w:rsidRPr="00792A2B" w:rsidRDefault="00F43895" w:rsidP="00F43895">
      <w:pPr>
        <w:rPr>
          <w:rFonts w:cs="Arial"/>
          <w:b/>
          <w:color w:val="2E74B5"/>
        </w:rPr>
      </w:pPr>
    </w:p>
    <w:p w:rsidR="00F43895" w:rsidRPr="00792A2B" w:rsidRDefault="00655DAD" w:rsidP="00F43895">
      <w:pPr>
        <w:rPr>
          <w:rFonts w:cs="Arial"/>
          <w:b/>
          <w:caps/>
        </w:rPr>
      </w:pPr>
      <w:r>
        <w:rPr>
          <w:rFonts w:cs="Arial"/>
          <w:b/>
          <w:caps/>
        </w:rPr>
        <w:t>8</w:t>
      </w:r>
      <w:r w:rsidR="00F43895" w:rsidRPr="00792A2B">
        <w:rPr>
          <w:rFonts w:cs="Arial"/>
          <w:b/>
          <w:caps/>
        </w:rPr>
        <w:t>.    LEGAL IMPLICATIONS</w:t>
      </w:r>
    </w:p>
    <w:p w:rsidR="00F43895" w:rsidRPr="00792A2B" w:rsidRDefault="00F43895" w:rsidP="00F43895">
      <w:pPr>
        <w:rPr>
          <w:rFonts w:cs="Arial"/>
          <w:b/>
          <w:caps/>
        </w:rPr>
      </w:pPr>
    </w:p>
    <w:p w:rsidR="00F43895" w:rsidRDefault="005A2007" w:rsidP="00A80A0A">
      <w:pPr>
        <w:ind w:left="567" w:hanging="567"/>
        <w:rPr>
          <w:rFonts w:cs="Arial"/>
        </w:rPr>
      </w:pPr>
      <w:r w:rsidRPr="005A2007">
        <w:rPr>
          <w:rFonts w:cs="Arial"/>
          <w:caps/>
        </w:rPr>
        <w:t>8.1</w:t>
      </w:r>
      <w:r w:rsidR="00F43895" w:rsidRPr="00792A2B">
        <w:rPr>
          <w:rFonts w:cs="Arial"/>
          <w:b/>
          <w:caps/>
        </w:rPr>
        <w:t xml:space="preserve"> </w:t>
      </w:r>
      <w:r w:rsidR="00512E39">
        <w:rPr>
          <w:rFonts w:cs="Arial"/>
          <w:b/>
          <w:caps/>
        </w:rPr>
        <w:t xml:space="preserve"> </w:t>
      </w:r>
      <w:r w:rsidR="00F43895" w:rsidRPr="00792A2B">
        <w:rPr>
          <w:rFonts w:cs="Arial"/>
          <w:b/>
          <w:caps/>
        </w:rPr>
        <w:t xml:space="preserve"> </w:t>
      </w:r>
      <w:r w:rsidR="000D6816">
        <w:rPr>
          <w:rFonts w:cs="Arial"/>
        </w:rPr>
        <w:t>The Development Brief</w:t>
      </w:r>
      <w:r w:rsidR="00C10C42">
        <w:rPr>
          <w:rFonts w:cs="Arial"/>
        </w:rPr>
        <w:t>,</w:t>
      </w:r>
      <w:r w:rsidR="000D6816">
        <w:rPr>
          <w:rFonts w:cs="Arial"/>
        </w:rPr>
        <w:t xml:space="preserve"> if approved</w:t>
      </w:r>
      <w:r w:rsidR="00C10C42">
        <w:rPr>
          <w:rFonts w:cs="Arial"/>
        </w:rPr>
        <w:t>,</w:t>
      </w:r>
      <w:r w:rsidR="000D6816">
        <w:rPr>
          <w:rFonts w:cs="Arial"/>
        </w:rPr>
        <w:t xml:space="preserve"> is a material planning consideration to be taken into account in the determination of any relevant planning applications</w:t>
      </w:r>
      <w:r w:rsidR="00E37ADF">
        <w:rPr>
          <w:rFonts w:cs="Arial"/>
        </w:rPr>
        <w:t>.</w:t>
      </w:r>
    </w:p>
    <w:p w:rsidR="00F43895" w:rsidRPr="00792A2B" w:rsidRDefault="00F43895" w:rsidP="00F43895">
      <w:pPr>
        <w:rPr>
          <w:rFonts w:cs="Arial"/>
          <w:b/>
          <w:caps/>
        </w:rPr>
      </w:pPr>
    </w:p>
    <w:p w:rsidR="00F43895" w:rsidRPr="00792A2B" w:rsidRDefault="00655DAD" w:rsidP="00F43895">
      <w:pPr>
        <w:rPr>
          <w:rFonts w:cs="Arial"/>
          <w:b/>
        </w:rPr>
      </w:pPr>
      <w:r>
        <w:rPr>
          <w:rFonts w:cs="Arial"/>
          <w:b/>
        </w:rPr>
        <w:t>9</w:t>
      </w:r>
      <w:r w:rsidR="00F43895" w:rsidRPr="00792A2B">
        <w:rPr>
          <w:rFonts w:cs="Arial"/>
          <w:b/>
        </w:rPr>
        <w:t>.  COMMENTS OF THE STATUTORY FINANCE OFFICER</w:t>
      </w:r>
    </w:p>
    <w:p w:rsidR="00BE2A3F" w:rsidRPr="00792A2B" w:rsidRDefault="00BE2A3F" w:rsidP="00F43895">
      <w:pPr>
        <w:rPr>
          <w:rFonts w:cs="Arial"/>
          <w:b/>
        </w:rPr>
      </w:pPr>
    </w:p>
    <w:p w:rsidR="00F43895" w:rsidRPr="006A39E9" w:rsidRDefault="005A2007" w:rsidP="00A80A0A">
      <w:pPr>
        <w:ind w:left="567" w:hanging="567"/>
        <w:rPr>
          <w:rFonts w:ascii="Calibri" w:hAnsi="Calibri"/>
          <w:color w:val="000000" w:themeColor="text1"/>
        </w:rPr>
      </w:pPr>
      <w:r>
        <w:rPr>
          <w:rFonts w:cs="Arial"/>
        </w:rPr>
        <w:t>9</w:t>
      </w:r>
      <w:r w:rsidR="00BE2A3F" w:rsidRPr="00792A2B">
        <w:rPr>
          <w:rFonts w:cs="Arial"/>
        </w:rPr>
        <w:t xml:space="preserve">.1   </w:t>
      </w:r>
      <w:r w:rsidR="006A39E9" w:rsidRPr="006A39E9">
        <w:rPr>
          <w:color w:val="000000" w:themeColor="text1"/>
        </w:rPr>
        <w:t xml:space="preserve">There are no financial implications at this stage. The Development Brief will form part of the public consultation process for the Campus Masterplan. Budget provision for the Campus project is included in the Council’s approved Capital Strategy and Medium Term Financial </w:t>
      </w:r>
      <w:r w:rsidR="006A39E9" w:rsidRPr="006A39E9">
        <w:rPr>
          <w:color w:val="000000" w:themeColor="text1"/>
        </w:rPr>
        <w:lastRenderedPageBreak/>
        <w:t>Strategy. As set out in the report the site is important due to its  location adjacent to the Civic Centre and therefore has the potential to offer greater value and more possibilities in the future alongside the programmes for better use of the Civic Centre. There will be further committee reports following the consultation period which will set out any financial implications.</w:t>
      </w:r>
    </w:p>
    <w:p w:rsidR="00E37ADF" w:rsidRPr="00792A2B" w:rsidRDefault="00E37ADF" w:rsidP="00F43895">
      <w:pPr>
        <w:rPr>
          <w:rFonts w:cs="Arial"/>
          <w:b/>
          <w:i/>
        </w:rPr>
      </w:pPr>
    </w:p>
    <w:p w:rsidR="00F43895" w:rsidRPr="00792A2B" w:rsidRDefault="00BE2A3F" w:rsidP="00BE2A3F">
      <w:pPr>
        <w:rPr>
          <w:rFonts w:cs="Arial"/>
          <w:b/>
        </w:rPr>
      </w:pPr>
      <w:r w:rsidRPr="00792A2B">
        <w:rPr>
          <w:rFonts w:cs="Arial"/>
          <w:b/>
        </w:rPr>
        <w:t>1</w:t>
      </w:r>
      <w:r w:rsidR="00655DAD">
        <w:rPr>
          <w:rFonts w:cs="Arial"/>
          <w:b/>
        </w:rPr>
        <w:t>0</w:t>
      </w:r>
      <w:r w:rsidRPr="00792A2B">
        <w:rPr>
          <w:rFonts w:cs="Arial"/>
          <w:b/>
        </w:rPr>
        <w:t xml:space="preserve">.  </w:t>
      </w:r>
      <w:r w:rsidR="00F43895" w:rsidRPr="00792A2B">
        <w:rPr>
          <w:rFonts w:cs="Arial"/>
          <w:b/>
        </w:rPr>
        <w:t>COMMENTS OF THE MONITORING OFFICER</w:t>
      </w:r>
    </w:p>
    <w:p w:rsidR="00F43895" w:rsidRPr="00792A2B" w:rsidRDefault="00F43895" w:rsidP="00F43895">
      <w:pPr>
        <w:ind w:left="567"/>
        <w:rPr>
          <w:rFonts w:cs="Arial"/>
          <w:b/>
        </w:rPr>
      </w:pPr>
    </w:p>
    <w:p w:rsidR="00F43895" w:rsidRPr="005A2007" w:rsidRDefault="00512E39" w:rsidP="00A80A0A">
      <w:pPr>
        <w:pStyle w:val="ListParagraph"/>
        <w:numPr>
          <w:ilvl w:val="1"/>
          <w:numId w:val="34"/>
        </w:numPr>
        <w:ind w:left="567" w:hanging="567"/>
        <w:rPr>
          <w:rFonts w:ascii="Arial" w:eastAsia="Times New Roman" w:hAnsi="Arial" w:cs="Arial"/>
          <w:i/>
          <w:color w:val="2E74B5"/>
          <w:szCs w:val="20"/>
          <w:lang w:eastAsia="en-GB"/>
        </w:rPr>
      </w:pPr>
      <w:r>
        <w:rPr>
          <w:rFonts w:ascii="Arial" w:eastAsia="Times New Roman" w:hAnsi="Arial" w:cs="Arial"/>
          <w:szCs w:val="20"/>
          <w:lang w:eastAsia="en-GB"/>
        </w:rPr>
        <w:t xml:space="preserve">The report seeks approval of committee to go out to consultation on the proposed </w:t>
      </w:r>
      <w:r w:rsidR="00CF7A38">
        <w:rPr>
          <w:rFonts w:ascii="Arial" w:eastAsia="Times New Roman" w:hAnsi="Arial" w:cs="Arial"/>
          <w:szCs w:val="20"/>
          <w:lang w:eastAsia="en-GB"/>
        </w:rPr>
        <w:t>Development Brief</w:t>
      </w:r>
      <w:r>
        <w:rPr>
          <w:rFonts w:ascii="Arial" w:eastAsia="Times New Roman" w:hAnsi="Arial" w:cs="Arial"/>
          <w:szCs w:val="20"/>
          <w:lang w:eastAsia="en-GB"/>
        </w:rPr>
        <w:t xml:space="preserve">. The intention is that such a </w:t>
      </w:r>
      <w:r w:rsidR="00CF7A38">
        <w:rPr>
          <w:rFonts w:ascii="Arial" w:eastAsia="Times New Roman" w:hAnsi="Arial" w:cs="Arial"/>
          <w:szCs w:val="20"/>
          <w:lang w:eastAsia="en-GB"/>
        </w:rPr>
        <w:t>Brief</w:t>
      </w:r>
      <w:r>
        <w:rPr>
          <w:rFonts w:ascii="Arial" w:eastAsia="Times New Roman" w:hAnsi="Arial" w:cs="Arial"/>
          <w:szCs w:val="20"/>
          <w:lang w:eastAsia="en-GB"/>
        </w:rPr>
        <w:t xml:space="preserve"> would inform</w:t>
      </w:r>
      <w:r w:rsidR="002E22BD">
        <w:rPr>
          <w:rFonts w:ascii="Arial" w:eastAsia="Times New Roman" w:hAnsi="Arial" w:cs="Arial"/>
          <w:szCs w:val="20"/>
          <w:lang w:eastAsia="en-GB"/>
        </w:rPr>
        <w:t xml:space="preserve"> any future planning decisions on that site</w:t>
      </w:r>
      <w:r>
        <w:rPr>
          <w:rFonts w:ascii="Arial" w:eastAsia="Times New Roman" w:hAnsi="Arial" w:cs="Arial"/>
          <w:szCs w:val="20"/>
          <w:lang w:eastAsia="en-GB"/>
        </w:rPr>
        <w:t>.</w:t>
      </w:r>
    </w:p>
    <w:p w:rsidR="002F5C5E" w:rsidRPr="00792A2B" w:rsidRDefault="002F5C5E" w:rsidP="002F5C5E">
      <w:pPr>
        <w:rPr>
          <w:b/>
          <w:strike/>
          <w:szCs w:val="22"/>
        </w:rPr>
      </w:pPr>
    </w:p>
    <w:p w:rsidR="000B5251" w:rsidRPr="00792A2B" w:rsidRDefault="00655DAD" w:rsidP="000B5251">
      <w:pPr>
        <w:rPr>
          <w:b/>
          <w:szCs w:val="22"/>
        </w:rPr>
      </w:pPr>
      <w:r>
        <w:rPr>
          <w:b/>
          <w:szCs w:val="22"/>
        </w:rPr>
        <w:t>11</w:t>
      </w:r>
      <w:r w:rsidR="000B5251" w:rsidRPr="00792A2B">
        <w:rPr>
          <w:b/>
          <w:szCs w:val="22"/>
        </w:rPr>
        <w:t xml:space="preserve">. 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A56681">
            <w:pPr>
              <w:numPr>
                <w:ilvl w:val="0"/>
                <w:numId w:val="11"/>
              </w:numPr>
              <w:ind w:left="360"/>
              <w:rPr>
                <w:b/>
                <w:szCs w:val="22"/>
              </w:rPr>
            </w:pPr>
            <w:r w:rsidRPr="00792A2B">
              <w:rPr>
                <w:b/>
                <w:szCs w:val="22"/>
              </w:rPr>
              <w:t xml:space="preserve">HR &amp; Organisational Development </w:t>
            </w:r>
          </w:p>
          <w:p w:rsidR="00A56681" w:rsidRPr="00792A2B" w:rsidRDefault="00A56681" w:rsidP="00A56681">
            <w:pPr>
              <w:ind w:left="360"/>
              <w:rPr>
                <w:b/>
                <w:szCs w:val="22"/>
              </w:rPr>
            </w:pPr>
          </w:p>
          <w:p w:rsidR="00A56681" w:rsidRPr="00792A2B" w:rsidRDefault="00A56681" w:rsidP="00A56681">
            <w:pPr>
              <w:numPr>
                <w:ilvl w:val="0"/>
                <w:numId w:val="11"/>
              </w:numPr>
              <w:ind w:left="360"/>
              <w:rPr>
                <w:b/>
                <w:szCs w:val="22"/>
              </w:rPr>
            </w:pPr>
            <w:r w:rsidRPr="00792A2B">
              <w:rPr>
                <w:b/>
                <w:szCs w:val="22"/>
              </w:rPr>
              <w:t>ICT / Technology</w:t>
            </w:r>
          </w:p>
          <w:p w:rsidR="002F5C5E" w:rsidRPr="00792A2B" w:rsidRDefault="002F5C5E" w:rsidP="00A56681">
            <w:pPr>
              <w:ind w:left="360"/>
              <w:rPr>
                <w:b/>
                <w:szCs w:val="22"/>
              </w:rPr>
            </w:pPr>
          </w:p>
          <w:p w:rsidR="002F5C5E" w:rsidRPr="00792A2B" w:rsidRDefault="002F5C5E" w:rsidP="0047741D">
            <w:pPr>
              <w:rPr>
                <w:b/>
                <w:szCs w:val="22"/>
              </w:rPr>
            </w:pPr>
          </w:p>
          <w:p w:rsidR="00A56681" w:rsidRPr="00792A2B" w:rsidRDefault="00A56681" w:rsidP="00A56681">
            <w:pPr>
              <w:numPr>
                <w:ilvl w:val="0"/>
                <w:numId w:val="11"/>
              </w:numPr>
              <w:ind w:left="360"/>
              <w:rPr>
                <w:b/>
                <w:szCs w:val="22"/>
              </w:rPr>
            </w:pPr>
            <w:r w:rsidRPr="00792A2B">
              <w:rPr>
                <w:b/>
                <w:szCs w:val="22"/>
              </w:rPr>
              <w:t>Property &amp; Asset Management</w:t>
            </w:r>
          </w:p>
          <w:p w:rsidR="00A56681" w:rsidRPr="00792A2B" w:rsidRDefault="00A56681" w:rsidP="00A56681">
            <w:pPr>
              <w:ind w:left="360"/>
              <w:rPr>
                <w:b/>
                <w:szCs w:val="22"/>
              </w:rPr>
            </w:pPr>
          </w:p>
          <w:p w:rsidR="002F5C5E" w:rsidRPr="00792A2B" w:rsidRDefault="00A56681" w:rsidP="0047741D">
            <w:pPr>
              <w:numPr>
                <w:ilvl w:val="0"/>
                <w:numId w:val="11"/>
              </w:numPr>
              <w:ind w:left="360"/>
              <w:rPr>
                <w:b/>
                <w:szCs w:val="22"/>
              </w:rPr>
            </w:pPr>
            <w:r w:rsidRPr="00792A2B">
              <w:rPr>
                <w:b/>
                <w:szCs w:val="22"/>
              </w:rPr>
              <w:t xml:space="preserve">Risk </w:t>
            </w:r>
          </w:p>
          <w:p w:rsidR="003C36EB" w:rsidRDefault="003C36EB" w:rsidP="0047741D">
            <w:pPr>
              <w:rPr>
                <w:b/>
                <w:szCs w:val="22"/>
              </w:rPr>
            </w:pPr>
          </w:p>
          <w:p w:rsidR="000C02FA" w:rsidRDefault="000C02FA" w:rsidP="0047741D">
            <w:pPr>
              <w:rPr>
                <w:b/>
                <w:szCs w:val="22"/>
              </w:rPr>
            </w:pPr>
          </w:p>
          <w:p w:rsidR="000C02FA" w:rsidRPr="00792A2B" w:rsidRDefault="000C02FA" w:rsidP="0047741D">
            <w:pPr>
              <w:rPr>
                <w:b/>
                <w:szCs w:val="22"/>
              </w:rPr>
            </w:pPr>
          </w:p>
          <w:p w:rsidR="002F5C5E" w:rsidRPr="00792A2B" w:rsidRDefault="00A56681" w:rsidP="00A56681">
            <w:pPr>
              <w:numPr>
                <w:ilvl w:val="0"/>
                <w:numId w:val="11"/>
              </w:numPr>
              <w:ind w:left="360"/>
              <w:rPr>
                <w:b/>
                <w:szCs w:val="22"/>
              </w:rPr>
            </w:pPr>
            <w:r w:rsidRPr="00792A2B">
              <w:rPr>
                <w:b/>
                <w:szCs w:val="22"/>
              </w:rPr>
              <w:t xml:space="preserve">Equality &amp; Diversity </w:t>
            </w:r>
          </w:p>
          <w:p w:rsidR="00A56681" w:rsidRPr="00792A2B" w:rsidRDefault="00A56681" w:rsidP="00A56681">
            <w:pPr>
              <w:rPr>
                <w:b/>
                <w:szCs w:val="22"/>
              </w:rPr>
            </w:pPr>
          </w:p>
          <w:p w:rsidR="002F5C5E" w:rsidRPr="00792A2B" w:rsidRDefault="002F5C5E" w:rsidP="00AC4A99">
            <w:pPr>
              <w:rPr>
                <w:b/>
                <w:szCs w:val="22"/>
              </w:rPr>
            </w:pPr>
          </w:p>
          <w:p w:rsidR="002F5C5E" w:rsidRPr="00792A2B" w:rsidRDefault="002F5C5E" w:rsidP="00AC4A99">
            <w:pPr>
              <w:rPr>
                <w:szCs w:val="22"/>
              </w:rPr>
            </w:pPr>
          </w:p>
        </w:tc>
        <w:tc>
          <w:tcPr>
            <w:tcW w:w="6379" w:type="dxa"/>
            <w:shd w:val="clear" w:color="auto" w:fill="auto"/>
          </w:tcPr>
          <w:p w:rsidR="00F43895" w:rsidRDefault="00F43895" w:rsidP="00AC4A99">
            <w:pPr>
              <w:rPr>
                <w:szCs w:val="22"/>
              </w:rPr>
            </w:pPr>
          </w:p>
          <w:p w:rsidR="00253A8B" w:rsidRPr="00792A2B" w:rsidRDefault="00253A8B" w:rsidP="00AC4A99">
            <w:pPr>
              <w:rPr>
                <w:i/>
                <w:color w:val="2E74B5" w:themeColor="accent1" w:themeShade="BF"/>
                <w:szCs w:val="22"/>
              </w:rPr>
            </w:pPr>
            <w:r>
              <w:rPr>
                <w:szCs w:val="22"/>
              </w:rPr>
              <w:t>If required an update will be provided at the Meeting</w:t>
            </w:r>
          </w:p>
          <w:p w:rsidR="00F43895" w:rsidRPr="00792A2B" w:rsidRDefault="00F43895" w:rsidP="00AC4A99">
            <w:pPr>
              <w:rPr>
                <w:i/>
                <w:color w:val="2E74B5" w:themeColor="accent1" w:themeShade="BF"/>
                <w:szCs w:val="22"/>
              </w:rPr>
            </w:pPr>
          </w:p>
          <w:p w:rsidR="00A56681" w:rsidRPr="00792A2B" w:rsidRDefault="00A56681" w:rsidP="00AC4A99">
            <w:pPr>
              <w:rPr>
                <w:i/>
                <w:color w:val="2E74B5"/>
                <w:szCs w:val="22"/>
              </w:rPr>
            </w:pPr>
          </w:p>
          <w:p w:rsidR="00F43895" w:rsidRPr="00253A8B" w:rsidRDefault="00253A8B" w:rsidP="00AC4A99">
            <w:pPr>
              <w:rPr>
                <w:szCs w:val="22"/>
              </w:rPr>
            </w:pPr>
            <w:r>
              <w:rPr>
                <w:szCs w:val="22"/>
              </w:rPr>
              <w:t>If required an update will be provided at the Meeting</w:t>
            </w:r>
          </w:p>
          <w:p w:rsidR="00F43895" w:rsidRPr="00792A2B" w:rsidRDefault="00F43895" w:rsidP="00AC4A99">
            <w:pPr>
              <w:rPr>
                <w:i/>
                <w:color w:val="2E74B5"/>
                <w:szCs w:val="22"/>
              </w:rPr>
            </w:pPr>
          </w:p>
          <w:p w:rsidR="00A56681" w:rsidRPr="00792A2B" w:rsidRDefault="00A56681" w:rsidP="00AC4A99">
            <w:pPr>
              <w:rPr>
                <w:i/>
                <w:color w:val="2E74B5"/>
                <w:szCs w:val="22"/>
              </w:rPr>
            </w:pPr>
          </w:p>
          <w:p w:rsidR="00F43895" w:rsidRPr="000C02FA" w:rsidRDefault="000C02FA" w:rsidP="00AC4A99">
            <w:pPr>
              <w:rPr>
                <w:szCs w:val="22"/>
              </w:rPr>
            </w:pPr>
            <w:r>
              <w:rPr>
                <w:szCs w:val="22"/>
              </w:rPr>
              <w:t>If required an update will be provided at the Meeting</w:t>
            </w:r>
          </w:p>
          <w:p w:rsidR="00F43895" w:rsidRPr="00792A2B" w:rsidRDefault="00F43895" w:rsidP="00AC4A99">
            <w:pPr>
              <w:rPr>
                <w:i/>
                <w:color w:val="2E74B5"/>
                <w:szCs w:val="22"/>
              </w:rPr>
            </w:pPr>
          </w:p>
          <w:p w:rsidR="00A56681" w:rsidRDefault="00A56681" w:rsidP="00AC4A99">
            <w:pPr>
              <w:rPr>
                <w:i/>
                <w:color w:val="2E74B5"/>
                <w:szCs w:val="22"/>
              </w:rPr>
            </w:pPr>
          </w:p>
          <w:p w:rsidR="000C02FA" w:rsidRDefault="000C02FA" w:rsidP="00AC4A99">
            <w:pPr>
              <w:rPr>
                <w:szCs w:val="22"/>
              </w:rPr>
            </w:pPr>
            <w:r w:rsidRPr="000C02FA">
              <w:rPr>
                <w:szCs w:val="22"/>
              </w:rPr>
              <w:t>If the report is not approved there could be a delay to the consultation exercise</w:t>
            </w:r>
          </w:p>
          <w:p w:rsidR="000C02FA" w:rsidRDefault="000C02FA" w:rsidP="00AC4A99">
            <w:pPr>
              <w:rPr>
                <w:szCs w:val="22"/>
              </w:rPr>
            </w:pPr>
          </w:p>
          <w:p w:rsidR="000C02FA" w:rsidRPr="000C02FA" w:rsidRDefault="000C02FA" w:rsidP="00AC4A99">
            <w:pPr>
              <w:rPr>
                <w:szCs w:val="22"/>
              </w:rPr>
            </w:pPr>
            <w:r>
              <w:rPr>
                <w:szCs w:val="22"/>
              </w:rPr>
              <w:t>This report requires authorisation to commence a formal consultation process. At this stage, there are no equality impact issues identified.</w:t>
            </w:r>
          </w:p>
          <w:p w:rsidR="00F43895" w:rsidRPr="000C02FA" w:rsidRDefault="00F43895" w:rsidP="00AC4A99">
            <w:pPr>
              <w:rPr>
                <w:i/>
                <w:szCs w:val="22"/>
              </w:rPr>
            </w:pPr>
          </w:p>
          <w:p w:rsidR="00F43895" w:rsidRPr="00792A2B" w:rsidRDefault="00F43895" w:rsidP="00AC4A99">
            <w:pPr>
              <w:rPr>
                <w:i/>
                <w:color w:val="2E74B5"/>
                <w:szCs w:val="22"/>
              </w:rPr>
            </w:pPr>
          </w:p>
          <w:p w:rsidR="00F43895" w:rsidRPr="00F43895" w:rsidRDefault="00F43895" w:rsidP="00AC4A99">
            <w:pPr>
              <w:rPr>
                <w:i/>
                <w:color w:val="2E74B5" w:themeColor="accent1" w:themeShade="BF"/>
                <w:szCs w:val="22"/>
              </w:rPr>
            </w:pPr>
          </w:p>
        </w:tc>
      </w:tr>
    </w:tbl>
    <w:p w:rsidR="00655DAD" w:rsidRDefault="00655DAD" w:rsidP="002F5C5E">
      <w:pPr>
        <w:rPr>
          <w:b/>
          <w:szCs w:val="22"/>
        </w:rPr>
      </w:pPr>
    </w:p>
    <w:p w:rsidR="00E37ADF" w:rsidRDefault="00E37ADF" w:rsidP="002F5C5E">
      <w:pPr>
        <w:rPr>
          <w:b/>
          <w:szCs w:val="22"/>
        </w:rPr>
      </w:pPr>
    </w:p>
    <w:p w:rsidR="002F5C5E" w:rsidRDefault="000B5251" w:rsidP="002F5C5E">
      <w:pPr>
        <w:rPr>
          <w:b/>
          <w:szCs w:val="22"/>
        </w:rPr>
      </w:pPr>
      <w:r>
        <w:rPr>
          <w:b/>
          <w:szCs w:val="22"/>
        </w:rPr>
        <w:t>1</w:t>
      </w:r>
      <w:r w:rsidR="00655DAD">
        <w:rPr>
          <w:b/>
          <w:szCs w:val="22"/>
        </w:rPr>
        <w:t>2</w:t>
      </w:r>
      <w:r w:rsidR="00B07B22">
        <w:rPr>
          <w:b/>
          <w:szCs w:val="22"/>
        </w:rPr>
        <w:t xml:space="preserve">. BACKGROUND DOCUMENTS </w:t>
      </w:r>
    </w:p>
    <w:p w:rsidR="000B5251" w:rsidRPr="009C1143" w:rsidRDefault="000B5251" w:rsidP="002F5C5E">
      <w:pPr>
        <w:rPr>
          <w:szCs w:val="22"/>
        </w:rPr>
      </w:pPr>
    </w:p>
    <w:p w:rsidR="002F5C5E" w:rsidRDefault="00512E39" w:rsidP="005A2007">
      <w:pPr>
        <w:ind w:left="567" w:hanging="567"/>
        <w:rPr>
          <w:szCs w:val="22"/>
        </w:rPr>
      </w:pPr>
      <w:r w:rsidRPr="00512E39">
        <w:rPr>
          <w:szCs w:val="22"/>
        </w:rPr>
        <w:t xml:space="preserve">12.1 </w:t>
      </w:r>
      <w:r w:rsidR="002E22BD">
        <w:rPr>
          <w:szCs w:val="22"/>
        </w:rPr>
        <w:t>None</w:t>
      </w:r>
    </w:p>
    <w:p w:rsidR="00E37ADF" w:rsidRPr="00512E39" w:rsidRDefault="00E37ADF" w:rsidP="005A2007">
      <w:pPr>
        <w:ind w:left="567" w:hanging="567"/>
        <w:rPr>
          <w:szCs w:val="22"/>
        </w:rPr>
      </w:pPr>
    </w:p>
    <w:p w:rsidR="000B5251" w:rsidRDefault="000B5251" w:rsidP="000B5251">
      <w:pPr>
        <w:rPr>
          <w:b/>
        </w:rPr>
      </w:pPr>
      <w:r w:rsidRPr="00792A2B">
        <w:rPr>
          <w:b/>
        </w:rPr>
        <w:t>1</w:t>
      </w:r>
      <w:r w:rsidR="00655DAD">
        <w:rPr>
          <w:b/>
        </w:rPr>
        <w:t>3</w:t>
      </w:r>
      <w:r w:rsidR="00B07B22">
        <w:rPr>
          <w:b/>
        </w:rPr>
        <w:t xml:space="preserve">. APPENDICES </w:t>
      </w:r>
    </w:p>
    <w:p w:rsidR="000B5251" w:rsidRDefault="000B5251" w:rsidP="000B5251">
      <w:pPr>
        <w:rPr>
          <w:b/>
        </w:rPr>
      </w:pPr>
    </w:p>
    <w:p w:rsidR="000B5251" w:rsidRPr="00512E39" w:rsidRDefault="005A2007" w:rsidP="005A2007">
      <w:pPr>
        <w:ind w:left="567" w:hanging="567"/>
        <w:rPr>
          <w:szCs w:val="22"/>
        </w:rPr>
      </w:pPr>
      <w:r w:rsidRPr="00512E39">
        <w:rPr>
          <w:szCs w:val="22"/>
        </w:rPr>
        <w:t>13.1</w:t>
      </w:r>
      <w:r w:rsidRPr="00512E39">
        <w:rPr>
          <w:szCs w:val="22"/>
        </w:rPr>
        <w:tab/>
      </w:r>
      <w:r w:rsidR="002E22BD">
        <w:rPr>
          <w:szCs w:val="22"/>
        </w:rPr>
        <w:t>Draft Development Brief</w:t>
      </w:r>
      <w:r w:rsidR="000C02FA">
        <w:rPr>
          <w:szCs w:val="22"/>
        </w:rPr>
        <w:t>.</w:t>
      </w:r>
    </w:p>
    <w:p w:rsidR="000B5251" w:rsidRDefault="000B5251" w:rsidP="005A2007">
      <w:pPr>
        <w:ind w:left="567" w:hanging="567"/>
        <w:rPr>
          <w:i/>
          <w:color w:val="0070C0"/>
          <w:szCs w:val="22"/>
        </w:rPr>
      </w:pPr>
    </w:p>
    <w:p w:rsidR="001C5E49" w:rsidRDefault="001C5E49" w:rsidP="001C5E49">
      <w:pPr>
        <w:tabs>
          <w:tab w:val="left" w:pos="2839"/>
        </w:tabs>
        <w:ind w:left="426" w:hanging="426"/>
        <w:rPr>
          <w:rFonts w:cs="Arial"/>
          <w:color w:val="0070C0"/>
        </w:rPr>
      </w:pPr>
    </w:p>
    <w:p w:rsidR="001C5E49" w:rsidRPr="00512E39" w:rsidRDefault="0090146A" w:rsidP="001C5E49">
      <w:pPr>
        <w:tabs>
          <w:tab w:val="left" w:pos="2839"/>
        </w:tabs>
        <w:rPr>
          <w:rFonts w:cs="Arial"/>
        </w:rPr>
      </w:pPr>
      <w:r w:rsidRPr="00512E39">
        <w:rPr>
          <w:rFonts w:cs="Arial"/>
        </w:rPr>
        <w:t>Jonathan Noad</w:t>
      </w:r>
    </w:p>
    <w:p w:rsidR="0090146A" w:rsidRPr="00512E39" w:rsidRDefault="0090146A" w:rsidP="001C5E49">
      <w:pPr>
        <w:tabs>
          <w:tab w:val="left" w:pos="2839"/>
        </w:tabs>
        <w:rPr>
          <w:rFonts w:cs="Arial"/>
        </w:rPr>
      </w:pPr>
      <w:r w:rsidRPr="00512E39">
        <w:rPr>
          <w:rFonts w:cs="Arial"/>
        </w:rPr>
        <w:t>Director of Planning and Property</w:t>
      </w:r>
    </w:p>
    <w:p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gridCol w:w="1554"/>
        <w:gridCol w:w="2359"/>
      </w:tblGrid>
      <w:tr w:rsidR="001C5E49" w:rsidTr="00E2196F">
        <w:tc>
          <w:tcPr>
            <w:tcW w:w="5700" w:type="dxa"/>
            <w:shd w:val="clear" w:color="auto" w:fill="auto"/>
          </w:tcPr>
          <w:p w:rsidR="001C5E49" w:rsidRPr="0031059E" w:rsidRDefault="001C5E49" w:rsidP="00E2196F">
            <w:pPr>
              <w:rPr>
                <w:rFonts w:cs="Arial"/>
              </w:rPr>
            </w:pPr>
            <w:r w:rsidRPr="0031059E">
              <w:rPr>
                <w:rFonts w:cs="Arial"/>
              </w:rPr>
              <w:t>Report Author:</w:t>
            </w:r>
          </w:p>
        </w:tc>
        <w:tc>
          <w:tcPr>
            <w:tcW w:w="1559" w:type="dxa"/>
            <w:shd w:val="clear" w:color="auto" w:fill="auto"/>
          </w:tcPr>
          <w:p w:rsidR="001C5E49" w:rsidRPr="0031059E" w:rsidRDefault="001C5E49" w:rsidP="00E2196F">
            <w:pPr>
              <w:rPr>
                <w:rFonts w:cs="Arial"/>
              </w:rPr>
            </w:pPr>
            <w:r w:rsidRPr="0031059E">
              <w:rPr>
                <w:rFonts w:cs="Arial"/>
              </w:rPr>
              <w:t>Telephone:</w:t>
            </w:r>
          </w:p>
        </w:tc>
        <w:tc>
          <w:tcPr>
            <w:tcW w:w="2380" w:type="dxa"/>
            <w:shd w:val="clear" w:color="auto" w:fill="auto"/>
          </w:tcPr>
          <w:p w:rsidR="001C5E49" w:rsidRPr="0031059E" w:rsidRDefault="001C5E49" w:rsidP="00E2196F">
            <w:pPr>
              <w:rPr>
                <w:rFonts w:cs="Arial"/>
              </w:rPr>
            </w:pPr>
            <w:r w:rsidRPr="0031059E">
              <w:rPr>
                <w:rFonts w:cs="Arial"/>
              </w:rPr>
              <w:t>Date:</w:t>
            </w:r>
          </w:p>
        </w:tc>
      </w:tr>
      <w:tr w:rsidR="00C903AC" w:rsidTr="00E2196F">
        <w:tc>
          <w:tcPr>
            <w:tcW w:w="5700" w:type="dxa"/>
            <w:shd w:val="clear" w:color="auto" w:fill="auto"/>
          </w:tcPr>
          <w:p w:rsidR="00C903AC" w:rsidRPr="002E22BD" w:rsidRDefault="002E22BD" w:rsidP="00C903AC">
            <w:pPr>
              <w:rPr>
                <w:rFonts w:cs="Arial"/>
              </w:rPr>
            </w:pPr>
            <w:r w:rsidRPr="002E22BD">
              <w:rPr>
                <w:rFonts w:cs="Arial"/>
              </w:rPr>
              <w:t>Jonathan Noad</w:t>
            </w:r>
          </w:p>
          <w:p w:rsidR="00C903AC" w:rsidRPr="0062726A" w:rsidRDefault="00C903AC" w:rsidP="00C903AC">
            <w:pPr>
              <w:ind w:left="-539" w:firstLine="539"/>
              <w:rPr>
                <w:rFonts w:cs="Arial"/>
              </w:rPr>
            </w:pPr>
          </w:p>
        </w:tc>
        <w:tc>
          <w:tcPr>
            <w:tcW w:w="1559" w:type="dxa"/>
            <w:shd w:val="clear" w:color="auto" w:fill="auto"/>
          </w:tcPr>
          <w:p w:rsidR="00C903AC" w:rsidRPr="0031059E" w:rsidRDefault="002E22BD" w:rsidP="00C903AC">
            <w:pPr>
              <w:rPr>
                <w:rFonts w:cs="Arial"/>
              </w:rPr>
            </w:pPr>
            <w:r>
              <w:rPr>
                <w:rFonts w:cs="Arial"/>
              </w:rPr>
              <w:t>01772 625206</w:t>
            </w:r>
          </w:p>
        </w:tc>
        <w:tc>
          <w:tcPr>
            <w:tcW w:w="2380" w:type="dxa"/>
            <w:shd w:val="clear" w:color="auto" w:fill="auto"/>
          </w:tcPr>
          <w:p w:rsidR="00C903AC" w:rsidRPr="0031059E" w:rsidRDefault="00F63E47" w:rsidP="00C903AC">
            <w:pPr>
              <w:rPr>
                <w:rFonts w:cs="Arial"/>
              </w:rPr>
            </w:pPr>
            <w:r>
              <w:rPr>
                <w:rFonts w:cs="Arial"/>
              </w:rPr>
              <w:t>19/12/2018</w:t>
            </w:r>
          </w:p>
        </w:tc>
      </w:tr>
    </w:tbl>
    <w:p w:rsidR="001C5E49" w:rsidRPr="009725FB" w:rsidRDefault="001C5E49"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0A3" w:rsidRDefault="00CD00A3">
      <w:r>
        <w:separator/>
      </w:r>
    </w:p>
  </w:endnote>
  <w:endnote w:type="continuationSeparator" w:id="0">
    <w:p w:rsidR="00CD00A3" w:rsidRDefault="00CD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8932F7">
      <w:rPr>
        <w:noProof/>
        <w:sz w:val="24"/>
      </w:rPr>
      <w:t>3</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0A3" w:rsidRDefault="00CD00A3">
      <w:r>
        <w:separator/>
      </w:r>
    </w:p>
  </w:footnote>
  <w:footnote w:type="continuationSeparator" w:id="0">
    <w:p w:rsidR="00CD00A3" w:rsidRDefault="00CD0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24612"/>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B597A75"/>
    <w:multiLevelType w:val="hybridMultilevel"/>
    <w:tmpl w:val="7D48A2AA"/>
    <w:lvl w:ilvl="0" w:tplc="1A046CA2">
      <w:numFmt w:val="bullet"/>
      <w:lvlText w:val="-"/>
      <w:lvlJc w:val="left"/>
      <w:pPr>
        <w:ind w:left="1713" w:hanging="360"/>
      </w:pPr>
      <w:rPr>
        <w:rFonts w:ascii="Arial" w:eastAsia="Times New Roman" w:hAnsi="Arial" w:cs="Arial"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1CA518F7"/>
    <w:multiLevelType w:val="multilevel"/>
    <w:tmpl w:val="CECCF8E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A840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9542E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BC15D4"/>
    <w:multiLevelType w:val="multilevel"/>
    <w:tmpl w:val="CECCF8E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88057E"/>
    <w:multiLevelType w:val="multilevel"/>
    <w:tmpl w:val="E0C0DA4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6" w15:restartNumberingAfterBreak="0">
    <w:nsid w:val="31567584"/>
    <w:multiLevelType w:val="multilevel"/>
    <w:tmpl w:val="CECCF8E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8"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41006B"/>
    <w:multiLevelType w:val="multilevel"/>
    <w:tmpl w:val="C922BD6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8969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BD05FE"/>
    <w:multiLevelType w:val="hybridMultilevel"/>
    <w:tmpl w:val="EDD0F074"/>
    <w:lvl w:ilvl="0" w:tplc="1A046C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D349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2752ED"/>
    <w:multiLevelType w:val="hybridMultilevel"/>
    <w:tmpl w:val="CD501652"/>
    <w:lvl w:ilvl="0" w:tplc="B91847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BE25E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9" w15:restartNumberingAfterBreak="0">
    <w:nsid w:val="71D24400"/>
    <w:multiLevelType w:val="multilevel"/>
    <w:tmpl w:val="93FA70B6"/>
    <w:lvl w:ilvl="0">
      <w:start w:val="7"/>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0" w15:restartNumberingAfterBreak="0">
    <w:nsid w:val="73A96F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725AAB"/>
    <w:multiLevelType w:val="multilevel"/>
    <w:tmpl w:val="43F8F1B4"/>
    <w:lvl w:ilvl="0">
      <w:start w:val="6"/>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2" w15:restartNumberingAfterBreak="0">
    <w:nsid w:val="7F053901"/>
    <w:multiLevelType w:val="multilevel"/>
    <w:tmpl w:val="CECCF8E0"/>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7628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1"/>
  </w:num>
  <w:num w:numId="3">
    <w:abstractNumId w:val="25"/>
  </w:num>
  <w:num w:numId="4">
    <w:abstractNumId w:val="12"/>
  </w:num>
  <w:num w:numId="5">
    <w:abstractNumId w:val="20"/>
  </w:num>
  <w:num w:numId="6">
    <w:abstractNumId w:val="8"/>
  </w:num>
  <w:num w:numId="7">
    <w:abstractNumId w:val="6"/>
  </w:num>
  <w:num w:numId="8">
    <w:abstractNumId w:val="7"/>
  </w:num>
  <w:num w:numId="9">
    <w:abstractNumId w:val="1"/>
  </w:num>
  <w:num w:numId="10">
    <w:abstractNumId w:val="4"/>
  </w:num>
  <w:num w:numId="11">
    <w:abstractNumId w:val="5"/>
  </w:num>
  <w:num w:numId="12">
    <w:abstractNumId w:val="17"/>
  </w:num>
  <w:num w:numId="13">
    <w:abstractNumId w:val="0"/>
  </w:num>
  <w:num w:numId="14">
    <w:abstractNumId w:val="28"/>
  </w:num>
  <w:num w:numId="15">
    <w:abstractNumId w:val="9"/>
  </w:num>
  <w:num w:numId="16">
    <w:abstractNumId w:val="23"/>
  </w:num>
  <w:num w:numId="17">
    <w:abstractNumId w:val="13"/>
  </w:num>
  <w:num w:numId="18">
    <w:abstractNumId w:val="27"/>
  </w:num>
  <w:num w:numId="19">
    <w:abstractNumId w:val="24"/>
  </w:num>
  <w:num w:numId="20">
    <w:abstractNumId w:val="2"/>
  </w:num>
  <w:num w:numId="21">
    <w:abstractNumId w:val="22"/>
  </w:num>
  <w:num w:numId="22">
    <w:abstractNumId w:val="26"/>
  </w:num>
  <w:num w:numId="23">
    <w:abstractNumId w:val="10"/>
  </w:num>
  <w:num w:numId="24">
    <w:abstractNumId w:val="14"/>
  </w:num>
  <w:num w:numId="25">
    <w:abstractNumId w:val="33"/>
  </w:num>
  <w:num w:numId="26">
    <w:abstractNumId w:val="30"/>
  </w:num>
  <w:num w:numId="27">
    <w:abstractNumId w:val="16"/>
  </w:num>
  <w:num w:numId="28">
    <w:abstractNumId w:val="32"/>
  </w:num>
  <w:num w:numId="29">
    <w:abstractNumId w:val="3"/>
  </w:num>
  <w:num w:numId="30">
    <w:abstractNumId w:val="11"/>
  </w:num>
  <w:num w:numId="31">
    <w:abstractNumId w:val="19"/>
  </w:num>
  <w:num w:numId="32">
    <w:abstractNumId w:val="31"/>
  </w:num>
  <w:num w:numId="33">
    <w:abstractNumId w:val="2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3C58"/>
    <w:rsid w:val="00016DD3"/>
    <w:rsid w:val="00023F05"/>
    <w:rsid w:val="00025DED"/>
    <w:rsid w:val="00041D52"/>
    <w:rsid w:val="00056174"/>
    <w:rsid w:val="00090CB3"/>
    <w:rsid w:val="000A6B35"/>
    <w:rsid w:val="000B5251"/>
    <w:rsid w:val="000C02FA"/>
    <w:rsid w:val="000D5B2C"/>
    <w:rsid w:val="000D6816"/>
    <w:rsid w:val="000E10FE"/>
    <w:rsid w:val="000F2C8A"/>
    <w:rsid w:val="00102C61"/>
    <w:rsid w:val="00113274"/>
    <w:rsid w:val="00123CA7"/>
    <w:rsid w:val="00151419"/>
    <w:rsid w:val="001542D0"/>
    <w:rsid w:val="001544DD"/>
    <w:rsid w:val="00154FB0"/>
    <w:rsid w:val="00184E1D"/>
    <w:rsid w:val="001938D6"/>
    <w:rsid w:val="001A74B1"/>
    <w:rsid w:val="001C5E49"/>
    <w:rsid w:val="001F1B6D"/>
    <w:rsid w:val="002221BD"/>
    <w:rsid w:val="002524BD"/>
    <w:rsid w:val="00252FB8"/>
    <w:rsid w:val="00253A8B"/>
    <w:rsid w:val="0025591B"/>
    <w:rsid w:val="002564D1"/>
    <w:rsid w:val="002642F8"/>
    <w:rsid w:val="002809C6"/>
    <w:rsid w:val="002820A5"/>
    <w:rsid w:val="002C050F"/>
    <w:rsid w:val="002C3509"/>
    <w:rsid w:val="002E22BD"/>
    <w:rsid w:val="002E4FF4"/>
    <w:rsid w:val="002F5C5E"/>
    <w:rsid w:val="00341F83"/>
    <w:rsid w:val="00342AB1"/>
    <w:rsid w:val="00345C71"/>
    <w:rsid w:val="00352BD8"/>
    <w:rsid w:val="00365A1D"/>
    <w:rsid w:val="00386530"/>
    <w:rsid w:val="00386AAD"/>
    <w:rsid w:val="003902A2"/>
    <w:rsid w:val="003A1B3F"/>
    <w:rsid w:val="003A23D3"/>
    <w:rsid w:val="003A2919"/>
    <w:rsid w:val="003B1E6D"/>
    <w:rsid w:val="003C36EB"/>
    <w:rsid w:val="003E33E6"/>
    <w:rsid w:val="003F5603"/>
    <w:rsid w:val="00405D4A"/>
    <w:rsid w:val="004218EA"/>
    <w:rsid w:val="00421AD5"/>
    <w:rsid w:val="00442C46"/>
    <w:rsid w:val="00454411"/>
    <w:rsid w:val="0046015D"/>
    <w:rsid w:val="00474DA8"/>
    <w:rsid w:val="0047741D"/>
    <w:rsid w:val="004A45D4"/>
    <w:rsid w:val="004D09F8"/>
    <w:rsid w:val="004D4B40"/>
    <w:rsid w:val="004D7260"/>
    <w:rsid w:val="004F23B3"/>
    <w:rsid w:val="005041BB"/>
    <w:rsid w:val="00504FC4"/>
    <w:rsid w:val="0051005E"/>
    <w:rsid w:val="00512E39"/>
    <w:rsid w:val="00525728"/>
    <w:rsid w:val="00533525"/>
    <w:rsid w:val="00547120"/>
    <w:rsid w:val="00547481"/>
    <w:rsid w:val="00576A82"/>
    <w:rsid w:val="00577882"/>
    <w:rsid w:val="00577933"/>
    <w:rsid w:val="00584977"/>
    <w:rsid w:val="005853EA"/>
    <w:rsid w:val="005A2007"/>
    <w:rsid w:val="005A26AD"/>
    <w:rsid w:val="005B0C36"/>
    <w:rsid w:val="005D4F59"/>
    <w:rsid w:val="005D544D"/>
    <w:rsid w:val="005D7ABC"/>
    <w:rsid w:val="005E6FC0"/>
    <w:rsid w:val="0060374B"/>
    <w:rsid w:val="00620626"/>
    <w:rsid w:val="0062726A"/>
    <w:rsid w:val="00630F86"/>
    <w:rsid w:val="00633396"/>
    <w:rsid w:val="00645A0B"/>
    <w:rsid w:val="0065262E"/>
    <w:rsid w:val="006555E6"/>
    <w:rsid w:val="00655DAD"/>
    <w:rsid w:val="00663022"/>
    <w:rsid w:val="006653C1"/>
    <w:rsid w:val="006879CA"/>
    <w:rsid w:val="006A39E9"/>
    <w:rsid w:val="006B645E"/>
    <w:rsid w:val="006B7116"/>
    <w:rsid w:val="006C04C1"/>
    <w:rsid w:val="006C209A"/>
    <w:rsid w:val="006D4135"/>
    <w:rsid w:val="006E09FB"/>
    <w:rsid w:val="006F2214"/>
    <w:rsid w:val="006F76A3"/>
    <w:rsid w:val="00707E99"/>
    <w:rsid w:val="00712E3F"/>
    <w:rsid w:val="00737FBF"/>
    <w:rsid w:val="0074057E"/>
    <w:rsid w:val="00772B9C"/>
    <w:rsid w:val="00773968"/>
    <w:rsid w:val="00775BDD"/>
    <w:rsid w:val="00776A82"/>
    <w:rsid w:val="00792A2B"/>
    <w:rsid w:val="007A61CA"/>
    <w:rsid w:val="0080223A"/>
    <w:rsid w:val="00813D72"/>
    <w:rsid w:val="00847514"/>
    <w:rsid w:val="008932F7"/>
    <w:rsid w:val="00893AD2"/>
    <w:rsid w:val="008A2F6B"/>
    <w:rsid w:val="008A42E3"/>
    <w:rsid w:val="008A610C"/>
    <w:rsid w:val="008A77AB"/>
    <w:rsid w:val="008B41C5"/>
    <w:rsid w:val="008B7AF9"/>
    <w:rsid w:val="008C3B1A"/>
    <w:rsid w:val="008C69CC"/>
    <w:rsid w:val="008D623F"/>
    <w:rsid w:val="008F4B91"/>
    <w:rsid w:val="008F79ED"/>
    <w:rsid w:val="0090146A"/>
    <w:rsid w:val="009023BA"/>
    <w:rsid w:val="0090542C"/>
    <w:rsid w:val="00921223"/>
    <w:rsid w:val="009350CB"/>
    <w:rsid w:val="009538AE"/>
    <w:rsid w:val="00980267"/>
    <w:rsid w:val="00983CD5"/>
    <w:rsid w:val="00992E79"/>
    <w:rsid w:val="009A1DB1"/>
    <w:rsid w:val="009A5DE7"/>
    <w:rsid w:val="009A714A"/>
    <w:rsid w:val="009C0DDD"/>
    <w:rsid w:val="009C1143"/>
    <w:rsid w:val="009E48E0"/>
    <w:rsid w:val="00A03494"/>
    <w:rsid w:val="00A1406A"/>
    <w:rsid w:val="00A22D02"/>
    <w:rsid w:val="00A30426"/>
    <w:rsid w:val="00A4702E"/>
    <w:rsid w:val="00A50754"/>
    <w:rsid w:val="00A56681"/>
    <w:rsid w:val="00A76482"/>
    <w:rsid w:val="00A80A0A"/>
    <w:rsid w:val="00AA2B8F"/>
    <w:rsid w:val="00AB0494"/>
    <w:rsid w:val="00AB2C32"/>
    <w:rsid w:val="00AC4A99"/>
    <w:rsid w:val="00B05FE8"/>
    <w:rsid w:val="00B07B22"/>
    <w:rsid w:val="00B1788B"/>
    <w:rsid w:val="00B443DD"/>
    <w:rsid w:val="00B51DB8"/>
    <w:rsid w:val="00B5458E"/>
    <w:rsid w:val="00B576AD"/>
    <w:rsid w:val="00B62D79"/>
    <w:rsid w:val="00B70B91"/>
    <w:rsid w:val="00B716F5"/>
    <w:rsid w:val="00B72A06"/>
    <w:rsid w:val="00B766C4"/>
    <w:rsid w:val="00B915FE"/>
    <w:rsid w:val="00B92298"/>
    <w:rsid w:val="00BA2606"/>
    <w:rsid w:val="00BB1995"/>
    <w:rsid w:val="00BC6635"/>
    <w:rsid w:val="00BE15A9"/>
    <w:rsid w:val="00BE2A3F"/>
    <w:rsid w:val="00BF61BD"/>
    <w:rsid w:val="00C022F9"/>
    <w:rsid w:val="00C10C42"/>
    <w:rsid w:val="00C209E3"/>
    <w:rsid w:val="00C230CA"/>
    <w:rsid w:val="00C30128"/>
    <w:rsid w:val="00C43119"/>
    <w:rsid w:val="00C52450"/>
    <w:rsid w:val="00C56E38"/>
    <w:rsid w:val="00C64ED1"/>
    <w:rsid w:val="00C66BAA"/>
    <w:rsid w:val="00C903AC"/>
    <w:rsid w:val="00C963B1"/>
    <w:rsid w:val="00CB0C7C"/>
    <w:rsid w:val="00CB32DF"/>
    <w:rsid w:val="00CC0810"/>
    <w:rsid w:val="00CC3246"/>
    <w:rsid w:val="00CC698F"/>
    <w:rsid w:val="00CD00A3"/>
    <w:rsid w:val="00CE3DA1"/>
    <w:rsid w:val="00CE4482"/>
    <w:rsid w:val="00CF6B60"/>
    <w:rsid w:val="00CF7A38"/>
    <w:rsid w:val="00D03328"/>
    <w:rsid w:val="00D36638"/>
    <w:rsid w:val="00D367BA"/>
    <w:rsid w:val="00D37BAE"/>
    <w:rsid w:val="00D56678"/>
    <w:rsid w:val="00D724A4"/>
    <w:rsid w:val="00D772AB"/>
    <w:rsid w:val="00D90A00"/>
    <w:rsid w:val="00D91845"/>
    <w:rsid w:val="00D9371C"/>
    <w:rsid w:val="00D96E5B"/>
    <w:rsid w:val="00DB3FD0"/>
    <w:rsid w:val="00DC634A"/>
    <w:rsid w:val="00DE5E12"/>
    <w:rsid w:val="00DF18E2"/>
    <w:rsid w:val="00E151E6"/>
    <w:rsid w:val="00E2196F"/>
    <w:rsid w:val="00E2276E"/>
    <w:rsid w:val="00E240D3"/>
    <w:rsid w:val="00E37912"/>
    <w:rsid w:val="00E37ADF"/>
    <w:rsid w:val="00E41950"/>
    <w:rsid w:val="00E56214"/>
    <w:rsid w:val="00E569CB"/>
    <w:rsid w:val="00E57706"/>
    <w:rsid w:val="00E577A2"/>
    <w:rsid w:val="00E60A53"/>
    <w:rsid w:val="00E63940"/>
    <w:rsid w:val="00E733A5"/>
    <w:rsid w:val="00E753EC"/>
    <w:rsid w:val="00E84459"/>
    <w:rsid w:val="00E878CF"/>
    <w:rsid w:val="00E971A2"/>
    <w:rsid w:val="00EB2D32"/>
    <w:rsid w:val="00EB7BAC"/>
    <w:rsid w:val="00EB7C94"/>
    <w:rsid w:val="00EC0A63"/>
    <w:rsid w:val="00ED257A"/>
    <w:rsid w:val="00F0384E"/>
    <w:rsid w:val="00F03DAD"/>
    <w:rsid w:val="00F3057A"/>
    <w:rsid w:val="00F30E9C"/>
    <w:rsid w:val="00F43895"/>
    <w:rsid w:val="00F55E4D"/>
    <w:rsid w:val="00F61752"/>
    <w:rsid w:val="00F63E47"/>
    <w:rsid w:val="00F67F95"/>
    <w:rsid w:val="00F8649C"/>
    <w:rsid w:val="00FC3D79"/>
    <w:rsid w:val="00FD620E"/>
    <w:rsid w:val="00FD7B65"/>
    <w:rsid w:val="00FE0302"/>
    <w:rsid w:val="00FF0A38"/>
    <w:rsid w:val="00FF4999"/>
    <w:rsid w:val="00FF7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C963B1"/>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9035">
      <w:bodyDiv w:val="1"/>
      <w:marLeft w:val="0"/>
      <w:marRight w:val="0"/>
      <w:marTop w:val="0"/>
      <w:marBottom w:val="0"/>
      <w:divBdr>
        <w:top w:val="none" w:sz="0" w:space="0" w:color="auto"/>
        <w:left w:val="none" w:sz="0" w:space="0" w:color="auto"/>
        <w:bottom w:val="none" w:sz="0" w:space="0" w:color="auto"/>
        <w:right w:val="none" w:sz="0" w:space="0" w:color="auto"/>
      </w:divBdr>
    </w:div>
    <w:div w:id="454297500">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10078-EEAB-4EF8-A166-5499B242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3</Pages>
  <Words>872</Words>
  <Characters>4725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2</cp:revision>
  <cp:lastPrinted>2018-12-07T14:48:00Z</cp:lastPrinted>
  <dcterms:created xsi:type="dcterms:W3CDTF">2018-12-21T11:34:00Z</dcterms:created>
  <dcterms:modified xsi:type="dcterms:W3CDTF">2018-12-21T11:34:00Z</dcterms:modified>
</cp:coreProperties>
</file>